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7044" w14:textId="77777777" w:rsidR="00C728C5" w:rsidRDefault="00190865">
      <w:pPr>
        <w:spacing w:line="24" w:lineRule="atLeast"/>
        <w:jc w:val="center"/>
        <w:rPr>
          <w:rFonts w:ascii="Calibri" w:hAnsi="Calibri" w:cs="Calibri"/>
          <w:b/>
        </w:rPr>
      </w:pPr>
      <w:r>
        <w:rPr>
          <w:rFonts w:ascii="Calibri" w:hAnsi="Calibri" w:cs="Calibri"/>
          <w:b/>
        </w:rPr>
        <w:t>lipiec 2022</w:t>
      </w:r>
    </w:p>
    <w:p w14:paraId="6E7BDFDB" w14:textId="77777777" w:rsidR="00C728C5" w:rsidRDefault="00C728C5">
      <w:pPr>
        <w:spacing w:line="24" w:lineRule="atLeast"/>
        <w:jc w:val="both"/>
        <w:rPr>
          <w:rFonts w:ascii="Calibri" w:hAnsi="Calibri" w:cs="Calibri"/>
          <w:b/>
        </w:rPr>
      </w:pPr>
    </w:p>
    <w:p w14:paraId="2147B7D7" w14:textId="77777777" w:rsidR="00C728C5" w:rsidRDefault="00C728C5">
      <w:pPr>
        <w:spacing w:line="24" w:lineRule="atLeast"/>
        <w:jc w:val="both"/>
        <w:rPr>
          <w:rFonts w:ascii="Calibri" w:hAnsi="Calibri" w:cs="Calibri"/>
          <w:b/>
        </w:rPr>
      </w:pPr>
    </w:p>
    <w:p w14:paraId="57648081" w14:textId="77777777" w:rsidR="00C728C5" w:rsidRDefault="00C728C5">
      <w:pPr>
        <w:spacing w:line="24" w:lineRule="atLeast"/>
        <w:jc w:val="both"/>
        <w:rPr>
          <w:rFonts w:ascii="Calibri" w:hAnsi="Calibri" w:cs="Calibri"/>
          <w:b/>
        </w:rPr>
      </w:pPr>
    </w:p>
    <w:p w14:paraId="45A2C70E" w14:textId="77777777" w:rsidR="00C728C5" w:rsidRDefault="00C728C5">
      <w:pPr>
        <w:spacing w:line="24" w:lineRule="atLeast"/>
        <w:jc w:val="both"/>
        <w:rPr>
          <w:rFonts w:ascii="Calibri" w:hAnsi="Calibri" w:cs="Calibri"/>
          <w:b/>
        </w:rPr>
      </w:pPr>
    </w:p>
    <w:p w14:paraId="10BB3709" w14:textId="77777777" w:rsidR="00C728C5" w:rsidRDefault="00C728C5">
      <w:pPr>
        <w:spacing w:line="24" w:lineRule="atLeast"/>
        <w:jc w:val="both"/>
        <w:rPr>
          <w:rFonts w:ascii="Calibri" w:hAnsi="Calibri" w:cs="Calibri"/>
          <w:b/>
        </w:rPr>
      </w:pPr>
    </w:p>
    <w:p w14:paraId="793B0AAA" w14:textId="77777777" w:rsidR="00C728C5" w:rsidRDefault="00C728C5">
      <w:pPr>
        <w:spacing w:line="24" w:lineRule="atLeast"/>
        <w:jc w:val="both"/>
        <w:rPr>
          <w:rFonts w:ascii="Calibri" w:hAnsi="Calibri" w:cs="Calibri"/>
          <w:b/>
        </w:rPr>
      </w:pPr>
    </w:p>
    <w:p w14:paraId="69151703" w14:textId="77777777" w:rsidR="00C728C5" w:rsidRDefault="00C728C5">
      <w:pPr>
        <w:spacing w:line="24" w:lineRule="atLeast"/>
        <w:jc w:val="both"/>
        <w:rPr>
          <w:rFonts w:ascii="Calibri" w:hAnsi="Calibri" w:cs="Calibri"/>
          <w:b/>
        </w:rPr>
      </w:pPr>
    </w:p>
    <w:p w14:paraId="6920C6A6" w14:textId="77777777" w:rsidR="00C728C5" w:rsidRDefault="00C728C5">
      <w:pPr>
        <w:spacing w:line="24" w:lineRule="atLeast"/>
        <w:jc w:val="both"/>
        <w:rPr>
          <w:rFonts w:ascii="Calibri" w:hAnsi="Calibri" w:cs="Calibri"/>
          <w:b/>
        </w:rPr>
      </w:pPr>
    </w:p>
    <w:p w14:paraId="2971B21C" w14:textId="77777777" w:rsidR="00C728C5" w:rsidRDefault="00C728C5">
      <w:pPr>
        <w:spacing w:line="24" w:lineRule="atLeast"/>
        <w:jc w:val="both"/>
        <w:rPr>
          <w:rFonts w:ascii="Calibri" w:hAnsi="Calibri" w:cs="Calibri"/>
          <w:b/>
        </w:rPr>
      </w:pPr>
    </w:p>
    <w:p w14:paraId="09CAB3EB" w14:textId="77777777" w:rsidR="00C728C5" w:rsidRDefault="00C728C5">
      <w:pPr>
        <w:spacing w:line="24" w:lineRule="atLeast"/>
        <w:jc w:val="both"/>
        <w:rPr>
          <w:rFonts w:ascii="Calibri" w:hAnsi="Calibri" w:cs="Calibri"/>
          <w:b/>
        </w:rPr>
      </w:pPr>
    </w:p>
    <w:p w14:paraId="4064E662" w14:textId="77777777" w:rsidR="00C728C5" w:rsidRDefault="00190865">
      <w:pPr>
        <w:spacing w:line="24" w:lineRule="atLeast"/>
        <w:jc w:val="center"/>
        <w:rPr>
          <w:rFonts w:ascii="Calibri" w:hAnsi="Calibri" w:cs="Calibri"/>
          <w:b/>
          <w:sz w:val="44"/>
          <w:szCs w:val="44"/>
        </w:rPr>
      </w:pPr>
      <w:r>
        <w:rPr>
          <w:rFonts w:ascii="Calibri" w:hAnsi="Calibri" w:cs="Calibri"/>
          <w:b/>
          <w:sz w:val="44"/>
          <w:szCs w:val="44"/>
        </w:rPr>
        <w:t>Specyfikacja warunków zamówienia</w:t>
      </w:r>
    </w:p>
    <w:p w14:paraId="79E7174A" w14:textId="77777777" w:rsidR="00C728C5" w:rsidRDefault="00C728C5">
      <w:pPr>
        <w:spacing w:line="24" w:lineRule="atLeast"/>
        <w:jc w:val="both"/>
        <w:rPr>
          <w:rFonts w:ascii="Calibri" w:hAnsi="Calibri" w:cs="Calibri"/>
          <w:sz w:val="28"/>
          <w:szCs w:val="28"/>
        </w:rPr>
      </w:pPr>
    </w:p>
    <w:p w14:paraId="31755BFC" w14:textId="77777777" w:rsidR="00C728C5" w:rsidRDefault="00190865">
      <w:pPr>
        <w:spacing w:line="24" w:lineRule="atLeast"/>
        <w:jc w:val="center"/>
      </w:pPr>
      <w:r>
        <w:rPr>
          <w:rFonts w:ascii="Calibri" w:hAnsi="Calibri" w:cs="Calibri"/>
        </w:rPr>
        <w:t xml:space="preserve">zamówienie o wartości </w:t>
      </w:r>
      <w:r>
        <w:rPr>
          <w:rFonts w:ascii="Calibri" w:hAnsi="Calibri" w:cs="Calibri"/>
          <w:b/>
        </w:rPr>
        <w:t xml:space="preserve">mniejszej </w:t>
      </w:r>
      <w:r>
        <w:rPr>
          <w:rFonts w:ascii="Calibri" w:hAnsi="Calibri" w:cs="Calibri"/>
        </w:rPr>
        <w:t>niż progi unijne</w:t>
      </w:r>
    </w:p>
    <w:p w14:paraId="7E568DD0" w14:textId="77777777" w:rsidR="00C728C5" w:rsidRDefault="00C728C5">
      <w:pPr>
        <w:spacing w:line="24" w:lineRule="atLeast"/>
        <w:jc w:val="both"/>
        <w:rPr>
          <w:rFonts w:ascii="Calibri" w:hAnsi="Calibri" w:cs="Calibri"/>
        </w:rPr>
      </w:pPr>
    </w:p>
    <w:p w14:paraId="598B5867" w14:textId="77777777" w:rsidR="00C728C5" w:rsidRDefault="00C728C5">
      <w:pPr>
        <w:spacing w:line="24" w:lineRule="atLeast"/>
        <w:jc w:val="center"/>
        <w:rPr>
          <w:rFonts w:ascii="Calibri" w:hAnsi="Calibri" w:cs="Calibri"/>
          <w:b/>
          <w:sz w:val="36"/>
          <w:szCs w:val="36"/>
        </w:rPr>
      </w:pPr>
    </w:p>
    <w:p w14:paraId="51CB3A5D" w14:textId="77777777" w:rsidR="00C728C5" w:rsidRDefault="00C728C5">
      <w:pPr>
        <w:spacing w:line="24" w:lineRule="atLeast"/>
        <w:jc w:val="center"/>
        <w:rPr>
          <w:rFonts w:ascii="Calibri" w:hAnsi="Calibri" w:cs="Calibri"/>
          <w:b/>
          <w:sz w:val="36"/>
          <w:szCs w:val="36"/>
        </w:rPr>
      </w:pPr>
    </w:p>
    <w:p w14:paraId="7C8ADE8B" w14:textId="77777777" w:rsidR="00C728C5" w:rsidRDefault="00C728C5">
      <w:pPr>
        <w:spacing w:line="24" w:lineRule="atLeast"/>
        <w:jc w:val="center"/>
        <w:rPr>
          <w:rFonts w:ascii="Calibri" w:hAnsi="Calibri" w:cs="Calibri"/>
          <w:sz w:val="36"/>
          <w:szCs w:val="36"/>
        </w:rPr>
      </w:pPr>
    </w:p>
    <w:p w14:paraId="768875C0" w14:textId="77777777" w:rsidR="00C728C5" w:rsidRDefault="00C728C5">
      <w:pPr>
        <w:spacing w:line="24" w:lineRule="atLeast"/>
        <w:jc w:val="center"/>
        <w:rPr>
          <w:rFonts w:ascii="Calibri" w:hAnsi="Calibri" w:cs="Calibri"/>
          <w:sz w:val="36"/>
          <w:szCs w:val="36"/>
        </w:rPr>
      </w:pPr>
    </w:p>
    <w:p w14:paraId="6C1A3F4F" w14:textId="77777777" w:rsidR="00C728C5" w:rsidRDefault="00C728C5">
      <w:pPr>
        <w:spacing w:line="24" w:lineRule="atLeast"/>
        <w:jc w:val="center"/>
        <w:rPr>
          <w:rFonts w:ascii="Calibri" w:hAnsi="Calibri" w:cs="Calibri"/>
          <w:sz w:val="36"/>
          <w:szCs w:val="36"/>
        </w:rPr>
      </w:pPr>
    </w:p>
    <w:p w14:paraId="45FB9D94" w14:textId="77777777" w:rsidR="00C728C5" w:rsidRDefault="00190865">
      <w:pPr>
        <w:spacing w:line="24" w:lineRule="atLeast"/>
        <w:rPr>
          <w:rFonts w:ascii="Calibri" w:hAnsi="Calibri" w:cs="Calibri"/>
        </w:rPr>
      </w:pPr>
      <w:r>
        <w:rPr>
          <w:rFonts w:ascii="Calibri" w:hAnsi="Calibri" w:cs="Calibri"/>
        </w:rPr>
        <w:t>Zamawiający:</w:t>
      </w:r>
    </w:p>
    <w:p w14:paraId="60D9158C" w14:textId="77777777" w:rsidR="00C728C5" w:rsidRDefault="00190865">
      <w:pPr>
        <w:spacing w:line="24" w:lineRule="atLeast"/>
        <w:rPr>
          <w:rFonts w:ascii="Calibri" w:hAnsi="Calibri" w:cs="Calibri"/>
          <w:bCs/>
          <w:sz w:val="36"/>
          <w:szCs w:val="36"/>
        </w:rPr>
      </w:pPr>
      <w:r>
        <w:rPr>
          <w:rFonts w:ascii="Calibri" w:hAnsi="Calibri" w:cs="Calibri"/>
          <w:bCs/>
          <w:sz w:val="36"/>
          <w:szCs w:val="36"/>
        </w:rPr>
        <w:t>Centrum Kultury Dwór Artusa</w:t>
      </w:r>
    </w:p>
    <w:p w14:paraId="031C9373" w14:textId="77777777" w:rsidR="00C728C5" w:rsidRDefault="00C728C5">
      <w:pPr>
        <w:spacing w:line="24" w:lineRule="atLeast"/>
        <w:rPr>
          <w:rFonts w:ascii="Calibri" w:hAnsi="Calibri" w:cs="Calibri"/>
          <w:sz w:val="36"/>
          <w:szCs w:val="36"/>
        </w:rPr>
      </w:pPr>
    </w:p>
    <w:p w14:paraId="7A51525B" w14:textId="77777777" w:rsidR="00C728C5" w:rsidRDefault="00190865">
      <w:pPr>
        <w:spacing w:line="24" w:lineRule="atLeast"/>
        <w:rPr>
          <w:rFonts w:ascii="Calibri" w:hAnsi="Calibri" w:cs="Calibri"/>
          <w:color w:val="auto"/>
        </w:rPr>
      </w:pPr>
      <w:r>
        <w:rPr>
          <w:rFonts w:ascii="Calibri" w:hAnsi="Calibri" w:cs="Calibri"/>
          <w:color w:val="auto"/>
        </w:rPr>
        <w:t>Przedmiot zamówienia:</w:t>
      </w:r>
    </w:p>
    <w:p w14:paraId="1CD15404" w14:textId="77777777" w:rsidR="00C728C5" w:rsidRDefault="00190865">
      <w:pPr>
        <w:spacing w:line="24" w:lineRule="atLeast"/>
        <w:rPr>
          <w:rFonts w:ascii="Calibri" w:hAnsi="Calibri" w:cs="Calibri"/>
          <w:b/>
          <w:color w:val="auto"/>
          <w:sz w:val="36"/>
          <w:szCs w:val="36"/>
          <w:u w:val="single"/>
        </w:rPr>
      </w:pPr>
      <w:r>
        <w:rPr>
          <w:rFonts w:ascii="Calibri" w:hAnsi="Calibri" w:cs="Calibri"/>
          <w:bCs/>
          <w:color w:val="auto"/>
          <w:sz w:val="36"/>
          <w:szCs w:val="36"/>
        </w:rPr>
        <w:t>Prace modernizacyjne przy zabytkowym budynku Centrum Kultury Dworu Artusa</w:t>
      </w:r>
      <w:r>
        <w:rPr>
          <w:rFonts w:ascii="Calibri" w:hAnsi="Calibri" w:cs="Calibri"/>
          <w:bCs/>
          <w:color w:val="auto"/>
          <w:sz w:val="36"/>
          <w:szCs w:val="36"/>
          <w:highlight w:val="yellow"/>
        </w:rPr>
        <w:br/>
      </w:r>
      <w:r w:rsidR="001512B1">
        <w:rPr>
          <w:rFonts w:ascii="Calibri" w:hAnsi="Calibri" w:cs="Calibri"/>
          <w:bCs/>
          <w:color w:val="auto"/>
          <w:sz w:val="36"/>
          <w:szCs w:val="36"/>
        </w:rPr>
        <w:t xml:space="preserve">(znak postępowania </w:t>
      </w:r>
      <w:r w:rsidR="001512B1" w:rsidRPr="001C65C5">
        <w:rPr>
          <w:rFonts w:ascii="Calibri" w:hAnsi="Calibri" w:cs="Calibri"/>
          <w:bCs/>
          <w:color w:val="auto"/>
          <w:sz w:val="36"/>
          <w:szCs w:val="36"/>
        </w:rPr>
        <w:t>DA/PZP/</w:t>
      </w:r>
      <w:r w:rsidR="001512B1">
        <w:rPr>
          <w:rFonts w:ascii="Calibri" w:hAnsi="Calibri" w:cs="Calibri"/>
          <w:bCs/>
          <w:color w:val="auto"/>
          <w:sz w:val="36"/>
          <w:szCs w:val="36"/>
        </w:rPr>
        <w:t>7</w:t>
      </w:r>
      <w:r w:rsidR="001512B1" w:rsidRPr="001C65C5">
        <w:rPr>
          <w:rFonts w:ascii="Calibri" w:hAnsi="Calibri" w:cs="Calibri"/>
          <w:bCs/>
          <w:color w:val="auto"/>
          <w:sz w:val="36"/>
          <w:szCs w:val="36"/>
        </w:rPr>
        <w:t>/2022</w:t>
      </w:r>
      <w:r w:rsidR="001512B1">
        <w:rPr>
          <w:rFonts w:ascii="Calibri" w:hAnsi="Calibri" w:cs="Calibri"/>
          <w:bCs/>
          <w:color w:val="auto"/>
          <w:sz w:val="36"/>
          <w:szCs w:val="36"/>
        </w:rPr>
        <w:t>)</w:t>
      </w:r>
    </w:p>
    <w:p w14:paraId="2590D7AD" w14:textId="77777777" w:rsidR="00C728C5" w:rsidRDefault="00C728C5">
      <w:pPr>
        <w:spacing w:line="24" w:lineRule="atLeast"/>
        <w:rPr>
          <w:rFonts w:ascii="Calibri" w:hAnsi="Calibri" w:cs="Calibri"/>
          <w:sz w:val="36"/>
          <w:szCs w:val="36"/>
        </w:rPr>
      </w:pPr>
    </w:p>
    <w:p w14:paraId="40AEC07E" w14:textId="77777777" w:rsidR="00C728C5" w:rsidRDefault="00190865">
      <w:pPr>
        <w:spacing w:line="24" w:lineRule="atLeast"/>
        <w:rPr>
          <w:rFonts w:ascii="Calibri" w:hAnsi="Calibri" w:cs="Calibri"/>
        </w:rPr>
      </w:pPr>
      <w:r>
        <w:rPr>
          <w:rFonts w:ascii="Calibri" w:hAnsi="Calibri" w:cs="Calibri"/>
        </w:rPr>
        <w:t>Tryb postępowania:</w:t>
      </w:r>
    </w:p>
    <w:p w14:paraId="0B1B87E7" w14:textId="77777777" w:rsidR="00C728C5" w:rsidRDefault="00190865">
      <w:pPr>
        <w:spacing w:line="24" w:lineRule="atLeast"/>
        <w:rPr>
          <w:rFonts w:ascii="Calibri" w:hAnsi="Calibri" w:cs="Calibri"/>
          <w:sz w:val="36"/>
          <w:szCs w:val="36"/>
        </w:rPr>
      </w:pPr>
      <w:r>
        <w:rPr>
          <w:rFonts w:ascii="Calibri" w:hAnsi="Calibri" w:cs="Calibri"/>
          <w:sz w:val="36"/>
          <w:szCs w:val="36"/>
        </w:rPr>
        <w:t>Tryb podstawowy bez negocjacji</w:t>
      </w:r>
    </w:p>
    <w:p w14:paraId="3A397280" w14:textId="77777777" w:rsidR="00C728C5" w:rsidRDefault="00C728C5">
      <w:pPr>
        <w:spacing w:line="24" w:lineRule="atLeast"/>
        <w:rPr>
          <w:rFonts w:ascii="Calibri" w:hAnsi="Calibri" w:cs="Calibri"/>
          <w:color w:val="auto"/>
          <w:sz w:val="36"/>
          <w:szCs w:val="36"/>
        </w:rPr>
      </w:pPr>
    </w:p>
    <w:p w14:paraId="48EA5A36" w14:textId="77777777" w:rsidR="00C728C5" w:rsidRDefault="00190865">
      <w:pPr>
        <w:spacing w:after="57" w:line="24" w:lineRule="atLeast"/>
        <w:rPr>
          <w:color w:val="auto"/>
        </w:rPr>
      </w:pPr>
      <w:r>
        <w:rPr>
          <w:rFonts w:ascii="Calibri" w:hAnsi="Calibri" w:cs="Calibri"/>
          <w:color w:val="auto"/>
        </w:rPr>
        <w:t>Termin składania ofert:</w:t>
      </w:r>
    </w:p>
    <w:p w14:paraId="6193AEEB" w14:textId="334145D3" w:rsidR="00C728C5" w:rsidRPr="00E24319" w:rsidRDefault="00E24319">
      <w:pPr>
        <w:spacing w:line="24" w:lineRule="atLeast"/>
        <w:rPr>
          <w:rFonts w:ascii="Calibri" w:hAnsi="Calibri" w:cs="Calibri"/>
          <w:color w:val="auto"/>
          <w:sz w:val="36"/>
          <w:szCs w:val="36"/>
          <w:u w:val="single"/>
        </w:rPr>
      </w:pPr>
      <w:r w:rsidRPr="00E24319">
        <w:rPr>
          <w:rFonts w:ascii="Calibri" w:hAnsi="Calibri" w:cs="Calibri"/>
          <w:color w:val="auto"/>
          <w:sz w:val="36"/>
          <w:szCs w:val="36"/>
          <w:u w:val="single"/>
        </w:rPr>
        <w:t>10</w:t>
      </w:r>
      <w:r w:rsidR="00AC0ACE" w:rsidRPr="00E24319">
        <w:rPr>
          <w:rFonts w:ascii="Calibri" w:hAnsi="Calibri" w:cs="Calibri"/>
          <w:color w:val="auto"/>
          <w:sz w:val="36"/>
          <w:szCs w:val="36"/>
          <w:u w:val="single"/>
        </w:rPr>
        <w:t xml:space="preserve"> </w:t>
      </w:r>
      <w:r w:rsidRPr="00E24319">
        <w:rPr>
          <w:rFonts w:ascii="Calibri" w:hAnsi="Calibri" w:cs="Calibri"/>
          <w:color w:val="auto"/>
          <w:sz w:val="36"/>
          <w:szCs w:val="36"/>
          <w:u w:val="single"/>
        </w:rPr>
        <w:t>sierpień</w:t>
      </w:r>
      <w:r w:rsidR="00190865" w:rsidRPr="00E24319">
        <w:rPr>
          <w:rFonts w:ascii="Calibri" w:hAnsi="Calibri" w:cs="Calibri"/>
          <w:color w:val="auto"/>
          <w:sz w:val="36"/>
          <w:szCs w:val="36"/>
          <w:u w:val="single"/>
        </w:rPr>
        <w:t xml:space="preserve"> </w:t>
      </w:r>
      <w:r w:rsidR="00851872" w:rsidRPr="00E24319">
        <w:rPr>
          <w:rFonts w:ascii="Calibri" w:hAnsi="Calibri" w:cs="Calibri"/>
          <w:color w:val="auto"/>
          <w:sz w:val="36"/>
          <w:szCs w:val="36"/>
          <w:u w:val="single"/>
        </w:rPr>
        <w:t xml:space="preserve">2022 </w:t>
      </w:r>
      <w:r w:rsidR="00190865" w:rsidRPr="00E24319">
        <w:rPr>
          <w:rFonts w:ascii="Calibri" w:hAnsi="Calibri" w:cs="Calibri"/>
          <w:color w:val="auto"/>
          <w:sz w:val="36"/>
          <w:szCs w:val="36"/>
          <w:u w:val="single"/>
        </w:rPr>
        <w:t xml:space="preserve">r. o godz. </w:t>
      </w:r>
      <w:bookmarkStart w:id="0" w:name="_Toc108499769"/>
      <w:bookmarkStart w:id="1" w:name="_Toc176243895"/>
      <w:bookmarkEnd w:id="0"/>
      <w:bookmarkEnd w:id="1"/>
      <w:r w:rsidR="00AC0ACE" w:rsidRPr="00E24319">
        <w:rPr>
          <w:rFonts w:ascii="Calibri" w:hAnsi="Calibri" w:cs="Calibri"/>
          <w:color w:val="auto"/>
          <w:sz w:val="36"/>
          <w:szCs w:val="36"/>
          <w:u w:val="single"/>
        </w:rPr>
        <w:t>10:00</w:t>
      </w:r>
    </w:p>
    <w:p w14:paraId="79AA5D63" w14:textId="77777777" w:rsidR="00C728C5" w:rsidRDefault="00C728C5">
      <w:pPr>
        <w:spacing w:line="24" w:lineRule="atLeast"/>
        <w:rPr>
          <w:rFonts w:ascii="Calibri" w:hAnsi="Calibri" w:cs="Calibri"/>
          <w:color w:val="auto"/>
          <w:sz w:val="36"/>
          <w:szCs w:val="36"/>
        </w:rPr>
        <w:sectPr w:rsidR="00C728C5">
          <w:headerReference w:type="default" r:id="rId8"/>
          <w:pgSz w:w="11906" w:h="16838"/>
          <w:pgMar w:top="1417" w:right="1417" w:bottom="1417" w:left="1417" w:header="680" w:footer="0" w:gutter="0"/>
          <w:cols w:space="708"/>
          <w:formProt w:val="0"/>
          <w:docGrid w:linePitch="360"/>
        </w:sectPr>
      </w:pPr>
    </w:p>
    <w:p w14:paraId="17CD8E0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Zamawiający</w:t>
      </w:r>
    </w:p>
    <w:p w14:paraId="43CDC40F"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Zamawiający:</w:t>
      </w:r>
    </w:p>
    <w:p w14:paraId="47E74B6A" w14:textId="77777777" w:rsidR="00C728C5" w:rsidRDefault="00190865">
      <w:pPr>
        <w:widowControl w:val="0"/>
        <w:autoSpaceDN w:val="0"/>
        <w:spacing w:after="57" w:line="276" w:lineRule="auto"/>
        <w:ind w:left="680"/>
        <w:rPr>
          <w:rFonts w:ascii="Calibri" w:hAnsi="Calibri" w:cs="Calibri"/>
          <w:color w:val="auto"/>
          <w:kern w:val="3"/>
          <w:lang w:eastAsia="en-US"/>
        </w:rPr>
      </w:pPr>
      <w:bookmarkStart w:id="2" w:name="_Hlk497384785"/>
      <w:r>
        <w:rPr>
          <w:rFonts w:ascii="Calibri" w:hAnsi="Calibri" w:cs="Calibri"/>
          <w:color w:val="auto"/>
          <w:kern w:val="3"/>
          <w:lang w:eastAsia="en-US"/>
        </w:rPr>
        <w:t>Centrum Kultury Dwór Artusa</w:t>
      </w:r>
    </w:p>
    <w:p w14:paraId="0F4504CB" w14:textId="77777777" w:rsidR="00C728C5" w:rsidRDefault="00190865">
      <w:pPr>
        <w:widowControl w:val="0"/>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siedziby: ul. Rynek Staromiejski 6, 87-100 Toruń</w:t>
      </w:r>
    </w:p>
    <w:bookmarkEnd w:id="2"/>
    <w:p w14:paraId="65D586B5" w14:textId="77777777" w:rsidR="00C728C5" w:rsidRDefault="00190865">
      <w:pPr>
        <w:widowControl w:val="0"/>
        <w:numPr>
          <w:ilvl w:val="1"/>
          <w:numId w:val="4"/>
        </w:numPr>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poczty elektronicznej w sprawach związanych z postępowaniem:</w:t>
      </w:r>
      <w:r>
        <w:rPr>
          <w:rFonts w:ascii="Calibri" w:hAnsi="Calibri" w:cs="Calibri"/>
          <w:color w:val="auto"/>
          <w:kern w:val="3"/>
          <w:lang w:eastAsia="en-US"/>
        </w:rPr>
        <w:br/>
        <w:t>sekretariat@artus.torun.pl oraz marcin.sobczak@artus.torun.pl</w:t>
      </w:r>
    </w:p>
    <w:p w14:paraId="4B9DB8FA"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Numer telefonu: 56 655 49 39 wew. 29</w:t>
      </w:r>
    </w:p>
    <w:p w14:paraId="7CCE25E2"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Osoby uprawnione do komunikowania się z wykonawcami: Marcin Sobczak</w:t>
      </w:r>
    </w:p>
    <w:p w14:paraId="0B9051DB"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Godziny pracy: poniedziałek-piątek w godz. 8:00 - 16:00</w:t>
      </w:r>
    </w:p>
    <w:p w14:paraId="3AA0F0B0"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Strona internetowa zamawiającego: </w:t>
      </w:r>
      <w:hyperlink r:id="rId9" w:history="1">
        <w:r>
          <w:rPr>
            <w:rFonts w:ascii="Calibri" w:hAnsi="Calibri" w:cs="Calibri"/>
            <w:color w:val="auto"/>
            <w:kern w:val="3"/>
            <w:lang w:eastAsia="en-US"/>
          </w:rPr>
          <w:t>www.artus.torun.pl</w:t>
        </w:r>
      </w:hyperlink>
    </w:p>
    <w:p w14:paraId="4B3E5745"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Adres strony internetowej prowadzonego postępowania, na której udostępniane będą dokumenty zamówienia i ich zmiany: https://www.e-bip.org.pl/artus/6240</w:t>
      </w:r>
    </w:p>
    <w:p w14:paraId="31A6C8E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Przedmiot i termin realizacji zamówienia</w:t>
      </w:r>
    </w:p>
    <w:p w14:paraId="66765A2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3" w:name="_Hlk32481928"/>
      <w:r>
        <w:rPr>
          <w:rFonts w:ascii="Calibri" w:hAnsi="Calibri" w:cs="Calibri"/>
          <w:color w:val="auto"/>
          <w:kern w:val="3"/>
          <w:lang w:eastAsia="en-US"/>
        </w:rPr>
        <w:t xml:space="preserve">Przedmiotem zamówienia są </w:t>
      </w:r>
      <w:bookmarkStart w:id="4" w:name="_Hlk108002289"/>
      <w:r>
        <w:rPr>
          <w:rFonts w:ascii="Calibri" w:hAnsi="Calibri" w:cs="Calibri"/>
          <w:color w:val="auto"/>
          <w:kern w:val="3"/>
          <w:lang w:eastAsia="en-US"/>
        </w:rPr>
        <w:t xml:space="preserve">prace modernizacyjne przy zabytkowym budynku Centrum Kultury Dworu Artusa </w:t>
      </w:r>
      <w:bookmarkEnd w:id="4"/>
      <w:r>
        <w:rPr>
          <w:rFonts w:ascii="Calibri" w:hAnsi="Calibri" w:cs="Calibri"/>
          <w:color w:val="auto"/>
          <w:kern w:val="3"/>
          <w:lang w:eastAsia="en-US"/>
        </w:rPr>
        <w:t xml:space="preserve">ul. Rynek Staromiejski 6 w Toruniu składające się z następujących zadań: </w:t>
      </w:r>
    </w:p>
    <w:p w14:paraId="656C6267"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 xml:space="preserve">Zadanie I. Wymiana parkietu w Galerii Dworu Artusa </w:t>
      </w:r>
    </w:p>
    <w:p w14:paraId="0A07EF06"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Prace konserwatorskie mają służyć przede wszystkim wyeliminowaniu przyczyn destrukcji obiektu, wzmocnieniu i ustabilizowaniu materii zabytkowej oraz zabezpieczeniu jej przed dalszym niszczeniem. Zachodzi potrzeba wymiany parkietu ze względu na jego zniszczenie i głośne trzeszczenie w trakcie chodzenia, co powoduje dyskomfort w trakcie spotkań i wystaw.</w:t>
      </w:r>
    </w:p>
    <w:p w14:paraId="6D697857"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Zadanie II. Prace modernizacyjne szatni w Galerii Dworu Artusa wg. projektu aranżacyjnego</w:t>
      </w:r>
    </w:p>
    <w:p w14:paraId="023AA688"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Modernizacja szatni w Galerii poprzez przebudowę szatni. Całość doprowadzi do stworzenia przestrzeni bardziej przyjaznej widzowi, która będzie mogła gościć profesjonalnych twórców. Zmiana lokalizacji szatni, sprawi, że pomieszczenie stanie się bardziej przestronne i łatwiejsze do eksponowania dzieł sztuki. Jednocześnie rozładuje tworzące się w trakcie koncertów kolejki, które ustawiały się do szatni. Dzięki modernizacjom możliwe będzie poszerzenie oferty ekspozycyjnej Dworu Artusa.</w:t>
      </w:r>
    </w:p>
    <w:p w14:paraId="1F136BE0"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t>Zadanie III. Malowanie – pomalowanie ścian i sufitów zgodnie z wizualizacją w celu odświeżenia pomieszczenia po remoncie i nadanie mu nowego wyglądu.</w:t>
      </w:r>
    </w:p>
    <w:p w14:paraId="471E3A42" w14:textId="77777777" w:rsidR="00C728C5" w:rsidRDefault="00190865">
      <w:pPr>
        <w:widowControl w:val="0"/>
        <w:numPr>
          <w:ilvl w:val="2"/>
          <w:numId w:val="20"/>
        </w:numPr>
        <w:autoSpaceDN w:val="0"/>
        <w:spacing w:after="57" w:line="276" w:lineRule="auto"/>
        <w:jc w:val="both"/>
        <w:rPr>
          <w:rFonts w:ascii="Calibri" w:hAnsi="Calibri" w:cs="Calibri"/>
          <w:b/>
          <w:bCs/>
          <w:color w:val="auto"/>
          <w:kern w:val="3"/>
          <w:lang w:eastAsia="en-US"/>
        </w:rPr>
      </w:pPr>
      <w:r>
        <w:rPr>
          <w:rFonts w:ascii="Calibri" w:hAnsi="Calibri" w:cs="Calibri"/>
          <w:b/>
          <w:bCs/>
          <w:color w:val="auto"/>
          <w:kern w:val="3"/>
          <w:lang w:eastAsia="en-US"/>
        </w:rPr>
        <w:lastRenderedPageBreak/>
        <w:t xml:space="preserve">Zadanie IV. Założenie oświetlenia sufitowego w Galerii Dworu Artusa </w:t>
      </w:r>
    </w:p>
    <w:p w14:paraId="6DADC433"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Zamontowanie energooszczędnego oświetlenia i dostosowanie go do obowiązujących w galeriach sztuki trendów.</w:t>
      </w:r>
    </w:p>
    <w:p w14:paraId="3E4CCAA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Szczegółowy zakres i opis przedmiotu zamówienia określony został w dokumentacji projektowej:</w:t>
      </w:r>
    </w:p>
    <w:p w14:paraId="2306E7FF" w14:textId="77777777" w:rsidR="00C728C5" w:rsidRDefault="00190865">
      <w:pPr>
        <w:widowControl w:val="0"/>
        <w:autoSpaceDN w:val="0"/>
        <w:spacing w:after="57" w:line="276" w:lineRule="auto"/>
        <w:ind w:left="1304"/>
        <w:jc w:val="both"/>
        <w:rPr>
          <w:rFonts w:ascii="Calibri" w:hAnsi="Calibri" w:cs="Calibri"/>
          <w:b/>
          <w:bCs/>
          <w:color w:val="auto"/>
          <w:kern w:val="3"/>
          <w:lang w:eastAsia="en-US"/>
        </w:rPr>
      </w:pPr>
      <w:r>
        <w:rPr>
          <w:rFonts w:ascii="Calibri" w:hAnsi="Calibri" w:cs="Calibri"/>
          <w:b/>
          <w:bCs/>
          <w:color w:val="auto"/>
          <w:kern w:val="3"/>
          <w:lang w:eastAsia="en-US"/>
        </w:rPr>
        <w:t>Zadanie I</w:t>
      </w:r>
    </w:p>
    <w:p w14:paraId="660CAFC0" w14:textId="2EFDC14D" w:rsidR="000475B1" w:rsidRPr="000475B1" w:rsidRDefault="00190865" w:rsidP="000475B1">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Opinia techniczna w zakresie oceny stanu technicznego posadzki drewnianej znajdującej się w Galerii na I piętrze Centrum Kultury „Dwór Artusa” w Toruniu</w:t>
      </w:r>
      <w:r w:rsidR="000475B1">
        <w:rPr>
          <w:rFonts w:ascii="Calibri" w:hAnsi="Calibri" w:cs="Calibri"/>
          <w:color w:val="auto"/>
          <w:kern w:val="3"/>
          <w:lang w:eastAsia="en-US"/>
        </w:rPr>
        <w:t xml:space="preserve"> </w:t>
      </w:r>
      <w:r w:rsidR="00637CAF" w:rsidRPr="000475B1">
        <w:rPr>
          <w:rFonts w:ascii="Calibri" w:hAnsi="Calibri" w:cs="Calibri"/>
          <w:color w:val="auto"/>
          <w:kern w:val="3"/>
          <w:lang w:eastAsia="en-US"/>
        </w:rPr>
        <w:t>(Załącznik 1.1</w:t>
      </w:r>
      <w:r w:rsidR="00764F40">
        <w:rPr>
          <w:rFonts w:ascii="Calibri" w:hAnsi="Calibri" w:cs="Calibri"/>
          <w:color w:val="auto"/>
          <w:kern w:val="3"/>
          <w:lang w:eastAsia="en-US"/>
        </w:rPr>
        <w:t>.1</w:t>
      </w:r>
      <w:r w:rsidR="00637CAF" w:rsidRPr="000475B1">
        <w:rPr>
          <w:rFonts w:ascii="Calibri" w:hAnsi="Calibri" w:cs="Calibri"/>
          <w:color w:val="auto"/>
          <w:kern w:val="3"/>
          <w:lang w:eastAsia="en-US"/>
        </w:rPr>
        <w:t>)</w:t>
      </w:r>
    </w:p>
    <w:p w14:paraId="7F5C1305" w14:textId="4D6DBD7E" w:rsidR="00C728C5" w:rsidRPr="000475B1" w:rsidRDefault="00190865" w:rsidP="00E065B6">
      <w:pPr>
        <w:widowControl w:val="0"/>
        <w:numPr>
          <w:ilvl w:val="2"/>
          <w:numId w:val="20"/>
        </w:numPr>
        <w:autoSpaceDN w:val="0"/>
        <w:spacing w:after="57" w:line="276" w:lineRule="auto"/>
        <w:jc w:val="both"/>
        <w:rPr>
          <w:rFonts w:ascii="Calibri" w:hAnsi="Calibri" w:cs="Calibri"/>
          <w:color w:val="auto"/>
          <w:kern w:val="3"/>
          <w:lang w:eastAsia="en-US"/>
        </w:rPr>
      </w:pPr>
      <w:r w:rsidRPr="000475B1">
        <w:rPr>
          <w:rFonts w:ascii="Calibri" w:hAnsi="Calibri" w:cs="Calibri"/>
          <w:color w:val="auto"/>
          <w:kern w:val="3"/>
          <w:lang w:eastAsia="en-US"/>
        </w:rPr>
        <w:t>Specyfikacja Techniczna Wykonania i Odbioru Robót (Załącznik nr 1.</w:t>
      </w:r>
      <w:r w:rsidR="00764F40">
        <w:rPr>
          <w:rFonts w:ascii="Calibri" w:hAnsi="Calibri" w:cs="Calibri"/>
          <w:color w:val="auto"/>
          <w:kern w:val="3"/>
          <w:lang w:eastAsia="en-US"/>
        </w:rPr>
        <w:t>1.</w:t>
      </w:r>
      <w:r w:rsidRPr="000475B1">
        <w:rPr>
          <w:rFonts w:ascii="Calibri" w:hAnsi="Calibri" w:cs="Calibri"/>
          <w:color w:val="auto"/>
          <w:kern w:val="3"/>
          <w:lang w:eastAsia="en-US"/>
        </w:rPr>
        <w:t>2)</w:t>
      </w:r>
    </w:p>
    <w:p w14:paraId="0A52A333" w14:textId="0ECA5653" w:rsidR="00C728C5" w:rsidRDefault="00190865">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 robót prac wymiany parkietu Dworu Artusa (Załącznik nr 1.</w:t>
      </w:r>
      <w:r w:rsidR="00A53B9E">
        <w:rPr>
          <w:rFonts w:ascii="Calibri" w:hAnsi="Calibri" w:cs="Calibri"/>
          <w:color w:val="auto"/>
          <w:kern w:val="3"/>
          <w:lang w:eastAsia="en-US"/>
        </w:rPr>
        <w:t>1.</w:t>
      </w:r>
      <w:r>
        <w:rPr>
          <w:rFonts w:ascii="Calibri" w:hAnsi="Calibri" w:cs="Calibri"/>
          <w:color w:val="auto"/>
          <w:kern w:val="3"/>
          <w:lang w:eastAsia="en-US"/>
        </w:rPr>
        <w:t>3)</w:t>
      </w:r>
    </w:p>
    <w:p w14:paraId="1F4BA316" w14:textId="37624B3F" w:rsidR="00C728C5" w:rsidRDefault="00190865">
      <w:pPr>
        <w:widowControl w:val="0"/>
        <w:numPr>
          <w:ilvl w:val="2"/>
          <w:numId w:val="2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w:t>
      </w:r>
      <w:r w:rsidR="00A42C10">
        <w:rPr>
          <w:rFonts w:ascii="Calibri" w:hAnsi="Calibri" w:cs="Calibri"/>
          <w:color w:val="auto"/>
          <w:kern w:val="3"/>
          <w:lang w:eastAsia="en-US"/>
        </w:rPr>
        <w:t>1.4</w:t>
      </w:r>
      <w:r>
        <w:rPr>
          <w:rFonts w:ascii="Calibri" w:hAnsi="Calibri" w:cs="Calibri"/>
          <w:color w:val="auto"/>
          <w:kern w:val="3"/>
          <w:lang w:eastAsia="en-US"/>
        </w:rPr>
        <w:t>)</w:t>
      </w:r>
    </w:p>
    <w:p w14:paraId="33BC4860" w14:textId="77777777" w:rsidR="00C728C5" w:rsidRDefault="00190865">
      <w:pPr>
        <w:widowControl w:val="0"/>
        <w:autoSpaceDN w:val="0"/>
        <w:spacing w:after="57" w:line="276" w:lineRule="auto"/>
        <w:ind w:left="1304"/>
        <w:jc w:val="both"/>
        <w:rPr>
          <w:rFonts w:ascii="Calibri" w:hAnsi="Calibri" w:cs="Calibri"/>
          <w:b/>
          <w:bCs/>
          <w:color w:val="auto"/>
          <w:kern w:val="3"/>
          <w:lang w:eastAsia="en-US"/>
        </w:rPr>
      </w:pPr>
      <w:r>
        <w:rPr>
          <w:rFonts w:ascii="Calibri" w:hAnsi="Calibri" w:cs="Calibri"/>
          <w:b/>
          <w:bCs/>
          <w:color w:val="auto"/>
          <w:kern w:val="3"/>
          <w:lang w:eastAsia="en-US"/>
        </w:rPr>
        <w:t>Zadanie II i III:</w:t>
      </w:r>
    </w:p>
    <w:p w14:paraId="59316C5B" w14:textId="54220C24" w:rsidR="00C728C5" w:rsidRDefault="00190865">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Wizualizacja aranżacji szatni i malowania pomieszczeń Galerii (Załącznik nr 1.</w:t>
      </w:r>
      <w:r w:rsidR="007571D5">
        <w:rPr>
          <w:rFonts w:ascii="Calibri" w:hAnsi="Calibri" w:cs="Calibri"/>
          <w:color w:val="auto"/>
          <w:kern w:val="3"/>
          <w:lang w:eastAsia="en-US"/>
        </w:rPr>
        <w:t>2.1</w:t>
      </w:r>
      <w:r>
        <w:rPr>
          <w:rFonts w:ascii="Calibri" w:hAnsi="Calibri" w:cs="Calibri"/>
          <w:color w:val="auto"/>
          <w:kern w:val="3"/>
          <w:lang w:eastAsia="en-US"/>
        </w:rPr>
        <w:t>)</w:t>
      </w:r>
      <w:r w:rsidR="0073788F">
        <w:rPr>
          <w:rFonts w:ascii="Calibri" w:hAnsi="Calibri" w:cs="Calibri"/>
          <w:color w:val="auto"/>
          <w:kern w:val="3"/>
          <w:lang w:eastAsia="en-US"/>
        </w:rPr>
        <w:t xml:space="preserve"> - Zip składający się z 13 plików</w:t>
      </w:r>
    </w:p>
    <w:p w14:paraId="5816C4F6" w14:textId="2BE2AA5F" w:rsidR="00C728C5" w:rsidRDefault="000311F3">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Projekt Techniczny Galerii</w:t>
      </w:r>
      <w:r w:rsidR="00190865">
        <w:rPr>
          <w:rFonts w:ascii="Calibri" w:hAnsi="Calibri" w:cs="Calibri"/>
          <w:color w:val="auto"/>
          <w:kern w:val="3"/>
          <w:lang w:eastAsia="en-US"/>
        </w:rPr>
        <w:t xml:space="preserve"> (Załącznik nr 1.</w:t>
      </w:r>
      <w:r>
        <w:rPr>
          <w:rFonts w:ascii="Calibri" w:hAnsi="Calibri" w:cs="Calibri"/>
          <w:color w:val="auto"/>
          <w:kern w:val="3"/>
          <w:lang w:eastAsia="en-US"/>
        </w:rPr>
        <w:t>2.2</w:t>
      </w:r>
      <w:r w:rsidR="00190865">
        <w:rPr>
          <w:rFonts w:ascii="Calibri" w:hAnsi="Calibri" w:cs="Calibri"/>
          <w:color w:val="auto"/>
          <w:kern w:val="3"/>
          <w:lang w:eastAsia="en-US"/>
        </w:rPr>
        <w:t>)</w:t>
      </w:r>
      <w:r>
        <w:rPr>
          <w:rFonts w:ascii="Calibri" w:hAnsi="Calibri" w:cs="Calibri"/>
          <w:color w:val="auto"/>
          <w:kern w:val="3"/>
          <w:lang w:eastAsia="en-US"/>
        </w:rPr>
        <w:t xml:space="preserve"> – Zip składający się z 16 plików</w:t>
      </w:r>
    </w:p>
    <w:p w14:paraId="31AEC060" w14:textId="2A01C19C" w:rsidR="00FF0A66" w:rsidRPr="00FF0A66" w:rsidRDefault="00FF0A66" w:rsidP="00FF0A66">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Kosztorys ślepy – malowanie (Załącznik nr </w:t>
      </w:r>
      <w:r w:rsidR="003F621C">
        <w:rPr>
          <w:rFonts w:ascii="Calibri" w:hAnsi="Calibri" w:cs="Calibri"/>
          <w:color w:val="auto"/>
          <w:kern w:val="3"/>
          <w:lang w:eastAsia="en-US"/>
        </w:rPr>
        <w:t>1.2.3</w:t>
      </w:r>
      <w:r>
        <w:rPr>
          <w:rFonts w:ascii="Calibri" w:hAnsi="Calibri" w:cs="Calibri"/>
          <w:color w:val="auto"/>
          <w:kern w:val="3"/>
          <w:lang w:eastAsia="en-US"/>
        </w:rPr>
        <w:t>)</w:t>
      </w:r>
    </w:p>
    <w:p w14:paraId="7C8EEC67" w14:textId="5007B1A1" w:rsidR="00C728C5" w:rsidRDefault="00190865">
      <w:pPr>
        <w:widowControl w:val="0"/>
        <w:numPr>
          <w:ilvl w:val="2"/>
          <w:numId w:val="28"/>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w:t>
      </w:r>
      <w:r w:rsidR="009322D2">
        <w:rPr>
          <w:rFonts w:ascii="Calibri" w:hAnsi="Calibri" w:cs="Calibri"/>
          <w:color w:val="auto"/>
          <w:kern w:val="3"/>
          <w:lang w:eastAsia="en-US"/>
        </w:rPr>
        <w:t>2.</w:t>
      </w:r>
      <w:r w:rsidR="00FF0A66">
        <w:rPr>
          <w:rFonts w:ascii="Calibri" w:hAnsi="Calibri" w:cs="Calibri"/>
          <w:color w:val="auto"/>
          <w:kern w:val="3"/>
          <w:lang w:eastAsia="en-US"/>
        </w:rPr>
        <w:t>4</w:t>
      </w:r>
      <w:r>
        <w:rPr>
          <w:rFonts w:ascii="Calibri" w:hAnsi="Calibri" w:cs="Calibri"/>
          <w:color w:val="auto"/>
          <w:kern w:val="3"/>
          <w:lang w:eastAsia="en-US"/>
        </w:rPr>
        <w:t>)</w:t>
      </w:r>
    </w:p>
    <w:p w14:paraId="1266CFAC" w14:textId="77777777" w:rsidR="00AE55E1" w:rsidRPr="00AE55E1" w:rsidRDefault="00AE55E1" w:rsidP="00AE55E1">
      <w:pPr>
        <w:pStyle w:val="Akapitzlist"/>
        <w:widowControl w:val="0"/>
        <w:autoSpaceDN w:val="0"/>
        <w:spacing w:after="57"/>
        <w:ind w:left="1106" w:firstLine="198"/>
        <w:jc w:val="both"/>
        <w:rPr>
          <w:rFonts w:cs="Calibri"/>
          <w:b/>
          <w:bCs/>
          <w:color w:val="auto"/>
          <w:kern w:val="3"/>
          <w:sz w:val="24"/>
          <w:szCs w:val="24"/>
        </w:rPr>
      </w:pPr>
      <w:r w:rsidRPr="00AE55E1">
        <w:rPr>
          <w:rFonts w:cs="Calibri"/>
          <w:b/>
          <w:bCs/>
          <w:color w:val="auto"/>
          <w:kern w:val="3"/>
          <w:sz w:val="24"/>
          <w:szCs w:val="24"/>
        </w:rPr>
        <w:t xml:space="preserve">Zadanie IV: </w:t>
      </w:r>
    </w:p>
    <w:p w14:paraId="6CE1B687" w14:textId="0329CF85" w:rsidR="00AE55E1" w:rsidRPr="001730FF" w:rsidRDefault="00AE55E1" w:rsidP="00AE55E1">
      <w:pPr>
        <w:widowControl w:val="0"/>
        <w:numPr>
          <w:ilvl w:val="2"/>
          <w:numId w:val="49"/>
        </w:numPr>
        <w:autoSpaceDN w:val="0"/>
        <w:spacing w:after="57" w:line="276" w:lineRule="auto"/>
        <w:jc w:val="both"/>
        <w:rPr>
          <w:rFonts w:ascii="Calibri" w:hAnsi="Calibri" w:cs="Calibri"/>
          <w:color w:val="auto"/>
          <w:kern w:val="3"/>
          <w:lang w:eastAsia="en-US"/>
        </w:rPr>
      </w:pPr>
      <w:r w:rsidRPr="00AE55E1">
        <w:rPr>
          <w:rFonts w:ascii="Calibri" w:hAnsi="Calibri"/>
        </w:rPr>
        <w:t>Wykaz materiałów oświetleniowych do instalacji sufitowej (Załącznik nr 1.</w:t>
      </w:r>
      <w:r w:rsidR="004A4673">
        <w:rPr>
          <w:rFonts w:ascii="Calibri" w:hAnsi="Calibri"/>
        </w:rPr>
        <w:t>3.1</w:t>
      </w:r>
      <w:r w:rsidRPr="00AE55E1">
        <w:rPr>
          <w:rFonts w:ascii="Calibri" w:hAnsi="Calibri"/>
        </w:rPr>
        <w:t>)</w:t>
      </w:r>
    </w:p>
    <w:p w14:paraId="19A63502" w14:textId="77777777" w:rsidR="001730FF" w:rsidRDefault="001730FF" w:rsidP="001730FF">
      <w:pPr>
        <w:widowControl w:val="0"/>
        <w:numPr>
          <w:ilvl w:val="2"/>
          <w:numId w:val="49"/>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Rzut piętra – powierzchnia prac (Załącznik nr 1.2.4)</w:t>
      </w:r>
    </w:p>
    <w:p w14:paraId="6AD6413C" w14:textId="77777777" w:rsidR="00E84130" w:rsidRDefault="00E84130">
      <w:pPr>
        <w:widowControl w:val="0"/>
        <w:autoSpaceDN w:val="0"/>
        <w:spacing w:after="57" w:line="276" w:lineRule="auto"/>
        <w:ind w:left="1304"/>
        <w:jc w:val="both"/>
        <w:rPr>
          <w:rFonts w:ascii="Calibri" w:hAnsi="Calibri" w:cs="Calibri"/>
          <w:color w:val="auto"/>
          <w:kern w:val="3"/>
          <w:lang w:eastAsia="en-US"/>
        </w:rPr>
      </w:pPr>
    </w:p>
    <w:p w14:paraId="115EF1A8" w14:textId="163C27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Ponadto Wykonawca zobowiązany jest wykonać przedmiot zamówienia zgodnie z decyzją Miejskiego Konserwatora Zabytków na prowadzenie prac przy zabytku nr BMKZ.4125.2.40.2020.AWK z dnia 26.06.2020 (Załącznik </w:t>
      </w:r>
      <w:r w:rsidR="0059338B">
        <w:rPr>
          <w:rFonts w:ascii="Calibri" w:hAnsi="Calibri" w:cs="Calibri"/>
          <w:color w:val="auto"/>
          <w:kern w:val="3"/>
          <w:lang w:eastAsia="en-US"/>
        </w:rPr>
        <w:t xml:space="preserve">nr </w:t>
      </w:r>
      <w:r>
        <w:rPr>
          <w:rFonts w:ascii="Calibri" w:hAnsi="Calibri" w:cs="Calibri"/>
          <w:color w:val="auto"/>
          <w:kern w:val="3"/>
          <w:lang w:eastAsia="en-US"/>
        </w:rPr>
        <w:t>1.</w:t>
      </w:r>
      <w:r w:rsidR="00F23FD8">
        <w:rPr>
          <w:rFonts w:ascii="Calibri" w:hAnsi="Calibri" w:cs="Calibri"/>
          <w:color w:val="auto"/>
          <w:kern w:val="3"/>
          <w:lang w:eastAsia="en-US"/>
        </w:rPr>
        <w:t>4</w:t>
      </w:r>
      <w:r w:rsidR="002737EA">
        <w:rPr>
          <w:rFonts w:ascii="Calibri" w:hAnsi="Calibri" w:cs="Calibri"/>
          <w:color w:val="auto"/>
          <w:kern w:val="3"/>
          <w:lang w:eastAsia="en-US"/>
        </w:rPr>
        <w:t>.1</w:t>
      </w:r>
      <w:r>
        <w:rPr>
          <w:rFonts w:ascii="Calibri" w:hAnsi="Calibri" w:cs="Calibri"/>
          <w:color w:val="auto"/>
          <w:kern w:val="3"/>
          <w:lang w:eastAsia="en-US"/>
        </w:rPr>
        <w:t>)</w:t>
      </w:r>
    </w:p>
    <w:p w14:paraId="0269700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Zamówienie obejmuje również:</w:t>
      </w:r>
    </w:p>
    <w:p w14:paraId="21FCA181"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wykonanie wymaganych obowiązującymi przepisami badań i pomiarów, prób, sprawdzeń, kontroli i odbiorów technicznych, dokumentacji powykonawczej,</w:t>
      </w:r>
    </w:p>
    <w:p w14:paraId="73CC923A"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urządzenie i zagospodarowanie placu robót oraz jego zabezpieczenie przed dostępem osób nieupoważnionych,</w:t>
      </w:r>
    </w:p>
    <w:p w14:paraId="0A12AD0A"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utylizację zdemontowanego parkietu,</w:t>
      </w:r>
    </w:p>
    <w:p w14:paraId="098516C1"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ewentualnie inne koszty, które zdaniem wykonawcy trzeba ponieść w związku z realizacją zamówienia,</w:t>
      </w:r>
    </w:p>
    <w:p w14:paraId="51C68D7B" w14:textId="77777777" w:rsidR="00C728C5" w:rsidRDefault="00190865">
      <w:pPr>
        <w:widowControl w:val="0"/>
        <w:numPr>
          <w:ilvl w:val="2"/>
          <w:numId w:val="3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roboty należy wykonać zgodnie z obowiązującym prawem budowlanym, normami i przepisami. Roboty budowlane Wykonawca zobowiązuje wykonać z materiałów i urządzeń własnych. Dostarczone materiały muszą być nowe </w:t>
      </w:r>
      <w:r>
        <w:rPr>
          <w:rFonts w:ascii="Calibri" w:hAnsi="Calibri" w:cs="Calibri"/>
          <w:color w:val="auto"/>
          <w:kern w:val="3"/>
          <w:lang w:eastAsia="en-US"/>
        </w:rPr>
        <w:lastRenderedPageBreak/>
        <w:t>i odpowiadać rodzajom i parametrom materiałów uwzględniających w opisie przedmiotu zamówienia. Materiały te powinny odpowiadać, co, do jakości wymogom wyrobów dopuszczonych do obrotu i stosowania w budownictwie zgodnie z art. 10 ustawy z dnia 7 lipca 1994 r. Prawo budowlane (t.j. Dz. U. z 2019 r. poz. 1186 z późn. zm.)</w:t>
      </w:r>
    </w:p>
    <w:p w14:paraId="492E775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rozbieżności w ustaleniach poszczególnych dokumentów składających się na opis przedmiotu zamówienia obowiązuje następująca kolejność ich ważności: </w:t>
      </w:r>
    </w:p>
    <w:p w14:paraId="16A4D4F1"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specyfikacja warunków zamówienia,</w:t>
      </w:r>
    </w:p>
    <w:p w14:paraId="4C89EBF4"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dokumentacja projektowa,</w:t>
      </w:r>
    </w:p>
    <w:p w14:paraId="622DD7A4" w14:textId="77777777" w:rsidR="00C728C5" w:rsidRDefault="00190865">
      <w:pPr>
        <w:widowControl w:val="0"/>
        <w:numPr>
          <w:ilvl w:val="2"/>
          <w:numId w:val="31"/>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przedmiary robót.</w:t>
      </w:r>
    </w:p>
    <w:p w14:paraId="13B68CE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Realizacja zamówienia z uwzględnieniem potrzeb osób niepełnosprawnych - jedną z wytycznych dla realizowania projektu było takie dostosowanie prowadzonych prac aby umożliwić osobom niepełnosprawnym, w tym osobom niepełnosprawnym poruszającym się na wózkach na pełne korzystanie z modernizowanego obiektu. Wykonawca zobowiązany jest wykonać zamówienie w sposób zapewniający realizację tego celu.</w:t>
      </w:r>
    </w:p>
    <w:p w14:paraId="5D48BA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udzieli Zamawiającemu gwarancji na wykonane roboty budowlane oraz użyte materiały, na okres minimalny 24 miesięcy licząc od dnia ostatecznego odbioru potwierdzonego stosownym protokołem. Niezależnie od gwarancji Zamawiającemu przysługują uprawnienia z tytułu rękojmi zgodnie z zasadami określonymi przez Kodeks cywilny. Okres rękojmi za wady wynosi minimum 24 miesięcy licząc od dnia ostatecznego odbioru robót. </w:t>
      </w:r>
      <w:bookmarkEnd w:id="3"/>
    </w:p>
    <w:p w14:paraId="4A32795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Miejscem realizacji zamówienia jest Centrum Kultury Dwór Artusa przy ul. Rynek Staromiejski 6 w Toruniu.</w:t>
      </w:r>
    </w:p>
    <w:p w14:paraId="0D6549DC" w14:textId="5C219A0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realizacji zamówienia wynosi </w:t>
      </w:r>
      <w:r w:rsidR="007B1FA5">
        <w:rPr>
          <w:rFonts w:ascii="Calibri" w:hAnsi="Calibri" w:cs="Calibri"/>
          <w:color w:val="auto"/>
          <w:kern w:val="3"/>
          <w:lang w:eastAsia="en-US"/>
        </w:rPr>
        <w:t>6</w:t>
      </w:r>
      <w:r>
        <w:rPr>
          <w:rFonts w:ascii="Calibri" w:hAnsi="Calibri" w:cs="Calibri"/>
          <w:color w:val="auto"/>
          <w:kern w:val="3"/>
          <w:lang w:eastAsia="en-US"/>
        </w:rPr>
        <w:t xml:space="preserve"> miesi</w:t>
      </w:r>
      <w:r w:rsidR="007B1FA5">
        <w:rPr>
          <w:rFonts w:ascii="Calibri" w:hAnsi="Calibri" w:cs="Calibri"/>
          <w:color w:val="auto"/>
          <w:kern w:val="3"/>
          <w:lang w:eastAsia="en-US"/>
        </w:rPr>
        <w:t>ę</w:t>
      </w:r>
      <w:r>
        <w:rPr>
          <w:rFonts w:ascii="Calibri" w:hAnsi="Calibri" w:cs="Calibri"/>
          <w:color w:val="auto"/>
          <w:kern w:val="3"/>
          <w:lang w:eastAsia="en-US"/>
        </w:rPr>
        <w:t>c</w:t>
      </w:r>
      <w:r w:rsidR="007B1FA5">
        <w:rPr>
          <w:rFonts w:ascii="Calibri" w:hAnsi="Calibri" w:cs="Calibri"/>
          <w:color w:val="auto"/>
          <w:kern w:val="3"/>
          <w:lang w:eastAsia="en-US"/>
        </w:rPr>
        <w:t>y</w:t>
      </w:r>
      <w:r>
        <w:rPr>
          <w:rFonts w:ascii="Calibri" w:hAnsi="Calibri" w:cs="Calibri"/>
          <w:color w:val="auto"/>
          <w:kern w:val="3"/>
          <w:lang w:eastAsia="en-US"/>
        </w:rPr>
        <w:t xml:space="preserve"> od daty podpisania umowy.</w:t>
      </w:r>
    </w:p>
    <w:p w14:paraId="01CF353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Nazwy i kody dotyczące przedmiotu zamówienia określone we Wspólnym Słowniku Zamówień (CPV):</w:t>
      </w:r>
    </w:p>
    <w:p w14:paraId="05388274"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45000000-7 (Roboty budowlane)</w:t>
      </w:r>
      <w:r>
        <w:rPr>
          <w:rFonts w:cs="Calibri"/>
          <w:color w:val="auto"/>
          <w:kern w:val="3"/>
          <w:sz w:val="24"/>
          <w:szCs w:val="24"/>
        </w:rPr>
        <w:tab/>
      </w:r>
    </w:p>
    <w:p w14:paraId="63F153F6"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45212313-3 (Roboty budowlane w zakresie muzeów)</w:t>
      </w:r>
    </w:p>
    <w:p w14:paraId="3C2F0190"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45453000-7 (Roboty remontowe i renowacyjne)</w:t>
      </w:r>
    </w:p>
    <w:p w14:paraId="725BCFDF"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44112240-2 (Parkiet) </w:t>
      </w:r>
      <w:r>
        <w:rPr>
          <w:rFonts w:cs="Calibri"/>
          <w:color w:val="auto"/>
          <w:kern w:val="3"/>
          <w:sz w:val="24"/>
          <w:szCs w:val="24"/>
        </w:rPr>
        <w:tab/>
      </w:r>
    </w:p>
    <w:p w14:paraId="474280B1"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45432113-9 (Kładzenie parkietu) </w:t>
      </w:r>
    </w:p>
    <w:p w14:paraId="5D4FE8AE"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44191000-5 (Różne drewniane materiały budowlane)</w:t>
      </w:r>
    </w:p>
    <w:p w14:paraId="5D9E4801"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 xml:space="preserve">45442110-1 (Malowanie budynków) </w:t>
      </w:r>
    </w:p>
    <w:p w14:paraId="1C3D44AD"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45442180-2 (Powtórne malowanie)</w:t>
      </w:r>
    </w:p>
    <w:p w14:paraId="7580736A"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31500000-1 (Urządzenia oświetleniowe i lampy elektryczne)</w:t>
      </w:r>
    </w:p>
    <w:p w14:paraId="5BD8B027" w14:textId="77777777" w:rsidR="00C728C5" w:rsidRDefault="00190865">
      <w:pPr>
        <w:pStyle w:val="Akapitzlist"/>
        <w:numPr>
          <w:ilvl w:val="0"/>
          <w:numId w:val="15"/>
        </w:numPr>
        <w:rPr>
          <w:rFonts w:cs="Calibri"/>
          <w:color w:val="auto"/>
          <w:kern w:val="3"/>
          <w:sz w:val="24"/>
          <w:szCs w:val="24"/>
        </w:rPr>
      </w:pPr>
      <w:r>
        <w:rPr>
          <w:rFonts w:cs="Calibri"/>
          <w:color w:val="auto"/>
          <w:kern w:val="3"/>
          <w:sz w:val="24"/>
          <w:szCs w:val="24"/>
        </w:rPr>
        <w:t>31524120-2 (Oświetlenie sufitowe)</w:t>
      </w:r>
    </w:p>
    <w:p w14:paraId="22EAB1B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Wykonawca jest zobowiązany do zrealizowania wszystkich obowiązków wynikających ze specyfikacji warunków zamówienia (zwanej również „SWZ”) wraz z załącznikami.</w:t>
      </w:r>
    </w:p>
    <w:p w14:paraId="20B19D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zobowiązany jest przyjąć warunki umowy zgodnie ze wzorem umowy stanowiącym załącznik nr 2 do SWZ. Zamawiający przewiduje możliwość dokonania zmian w treści zawartej umowy w stosunku do treści oferty na warunkach przewidzianych we wzorze umowy.</w:t>
      </w:r>
    </w:p>
    <w:p w14:paraId="58EA17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wymaga zatrudnienia przez wykonawcę oraz podwykonawcę osób wykonujących czynności wchodzące w tzw. koszty bezpośrednie, związane z realizacją zamówienia, na podstawie umowy o pracę. Wymóg ten dotyczy osób, które wykonują czynności bezpośrednio związane z wykonywaniem robót, czyli tzw. pracowników fizycznych. Wymóg nie dotyczy m.in. następujących osób: kierujących budową, wykonujących obsługę geodezyjną, dostawców materiałów budowlanych. Szczegółowe wymagania, sposób dokumentowania zatrudnienia, uprawnienia kontrolne zamawiającego oraz kary umowne związane z obowiązkiem zatrudnienia na podstawie umowy o pracę określa wzór umowy.</w:t>
      </w:r>
    </w:p>
    <w:p w14:paraId="2793C03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opis przedmiotu zamówienia zawierałby w odniesieniu do niektórych materiałów lub urządzeń wskazanie znaków towarowych, patentów lub pochodzenia, źródła lub szczególnego procesu, który charakteryzuje produkty lub usługi dostarczane przez konkretnego wykonawcę, należy przyjąć, iż wskazaniu takiemu towarzyszą wyrazy "lub równoważny", a zamawiający dopuszcza oferowanie materiałów lub urządzeń równoważnych. Wskazane w ten sposób materiały lub urządzenia określają istotne wymagane parametry i cechy techniczne i użytkowe, jakim muszą odpowiadać lub je przewyższać materiały lub urządzenia oferowane przez wykonawcę.</w:t>
      </w:r>
    </w:p>
    <w:p w14:paraId="6A420B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dokumentacja projektowa lub specyfikacja techniczna wykonania i odbioru robót budowlanych opisuje przedmiot zamówienia przez odniesienie do norm, ocen technicznych, aprobat, specyfikacji technicznych i systemów referencji technicznych, należy przyjąć, iż odniesieniu takiemu towarzyszą wyrazy "lub równoważny", a zamawiający dopuszcza rozwiązania równoważne opisywanym. W przypadku oferowania rozwiązań równoważnych wykonawca udowodni w ofercie, że proponowane rozwiązania w równoważnym stopniu spełniają wymagania określone w opisie przedmiotu zamówienia.</w:t>
      </w:r>
    </w:p>
    <w:p w14:paraId="02CC4B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Treść oferty musi być zgodna z wymaganiami zamawiającego określonymi w dokumentach zamówienia. Niezgodność treści oferty z warunkami zamówienia spowoduje odrzucenie oferty wykonawcy, z wyjątkiem zaistnienia przesłanek ustawowych jej poprawienia.</w:t>
      </w:r>
    </w:p>
    <w:p w14:paraId="726E1AE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zastrzega obowiązku osobistego wykonania przez wykonawcę kluczowych zadań.</w:t>
      </w:r>
    </w:p>
    <w:p w14:paraId="0509EF6E"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lastRenderedPageBreak/>
        <w:t>Zamawiający przewiduje możliwości odbycia wizji lokalnej. Wykonawca, który chciałby dokonać wizji lokalnej miejsca montażu proszony jest o kontakt na adresy poczty elektronicznej określonej w pkt I.2.</w:t>
      </w:r>
    </w:p>
    <w:p w14:paraId="6932F04D" w14:textId="55044E25"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Zamawiający dysponuje następującą kwotą na wykonanie całości zamówienia: </w:t>
      </w:r>
      <w:r>
        <w:rPr>
          <w:rFonts w:asciiTheme="minorHAnsi" w:hAnsiTheme="minorHAnsi" w:cs="Calibri"/>
          <w:b/>
          <w:bCs/>
          <w:color w:val="auto"/>
          <w:kern w:val="3"/>
          <w:lang w:eastAsia="en-US"/>
        </w:rPr>
        <w:t>242 357,56 zł brutto</w:t>
      </w:r>
      <w:r>
        <w:rPr>
          <w:rFonts w:asciiTheme="minorHAnsi" w:hAnsiTheme="minorHAnsi" w:cs="Calibri"/>
          <w:color w:val="auto"/>
          <w:kern w:val="3"/>
          <w:lang w:eastAsia="en-US"/>
        </w:rPr>
        <w:t xml:space="preserve"> (dwieście czterdzieści dwa tysiące trzysta pięćdziesiąt siedem złotych </w:t>
      </w:r>
      <w:r w:rsidR="000B58E8">
        <w:rPr>
          <w:rFonts w:asciiTheme="minorHAnsi" w:hAnsiTheme="minorHAnsi" w:cs="Calibri"/>
          <w:color w:val="auto"/>
          <w:kern w:val="3"/>
          <w:lang w:eastAsia="en-US"/>
        </w:rPr>
        <w:t>5</w:t>
      </w:r>
      <w:r>
        <w:rPr>
          <w:rFonts w:asciiTheme="minorHAnsi" w:hAnsiTheme="minorHAnsi" w:cs="Calibri"/>
          <w:color w:val="auto"/>
          <w:kern w:val="3"/>
          <w:lang w:eastAsia="en-US"/>
        </w:rPr>
        <w:t>6/100).</w:t>
      </w:r>
    </w:p>
    <w:p w14:paraId="6239B3A8"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Uzasadnienie braku podziału zamówienia na części: Zamawiający kieruje się „zasadą efektywności ekonomicznej”. Zgodnie z art. 17 zamawiający udziela zamówienia w sposób zapewniający: </w:t>
      </w:r>
    </w:p>
    <w:p w14:paraId="5AAE0D45"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najlepszą jakość dostaw, usług oraz robót budowlanych, uzasadnioną charakterem zamówienia</w:t>
      </w:r>
    </w:p>
    <w:p w14:paraId="623FF6B7" w14:textId="77777777" w:rsidR="00C728C5" w:rsidRDefault="00190865">
      <w:pPr>
        <w:pStyle w:val="Akapitzlist"/>
        <w:numPr>
          <w:ilvl w:val="0"/>
          <w:numId w:val="38"/>
        </w:numPr>
        <w:suppressAutoHyphens w:val="0"/>
        <w:spacing w:after="0"/>
        <w:ind w:left="1469"/>
        <w:jc w:val="both"/>
        <w:rPr>
          <w:rFonts w:asciiTheme="minorHAnsi" w:hAnsiTheme="minorHAnsi"/>
          <w:sz w:val="24"/>
          <w:szCs w:val="24"/>
        </w:rPr>
      </w:pPr>
      <w:r>
        <w:rPr>
          <w:rFonts w:asciiTheme="minorHAnsi" w:hAnsiTheme="minorHAnsi"/>
          <w:sz w:val="24"/>
          <w:szCs w:val="24"/>
        </w:rPr>
        <w:t>praca przy zabytku, zamawiający dąży do uzyskania jak najlepszego efektu, maksymalizacji jakości wykonanych robót które zostaną osiągnięte poprzez wykonanie prac równocześnie przy wszystkich zadaniach</w:t>
      </w:r>
    </w:p>
    <w:p w14:paraId="4AE8C4D7"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 xml:space="preserve">w ramach środków, które zamawiający może przeznaczyć na jego realizację </w:t>
      </w:r>
    </w:p>
    <w:p w14:paraId="5ED43755" w14:textId="77777777" w:rsidR="00C728C5" w:rsidRDefault="00190865">
      <w:pPr>
        <w:pStyle w:val="Akapitzlist"/>
        <w:numPr>
          <w:ilvl w:val="0"/>
          <w:numId w:val="36"/>
        </w:numPr>
        <w:suppressAutoHyphens w:val="0"/>
        <w:spacing w:after="0"/>
        <w:ind w:left="1469"/>
        <w:jc w:val="both"/>
        <w:rPr>
          <w:rFonts w:asciiTheme="minorHAnsi" w:hAnsiTheme="minorHAnsi"/>
          <w:sz w:val="24"/>
          <w:szCs w:val="24"/>
        </w:rPr>
      </w:pPr>
      <w:r>
        <w:rPr>
          <w:rFonts w:asciiTheme="minorHAnsi" w:hAnsiTheme="minorHAnsi"/>
          <w:sz w:val="24"/>
          <w:szCs w:val="24"/>
        </w:rPr>
        <w:t>otrzymanie niższych ofert za całość zamówienia</w:t>
      </w:r>
    </w:p>
    <w:p w14:paraId="0E5B9FCF" w14:textId="77777777" w:rsidR="00C728C5" w:rsidRDefault="00190865">
      <w:pPr>
        <w:pStyle w:val="Akapitzlist"/>
        <w:numPr>
          <w:ilvl w:val="0"/>
          <w:numId w:val="34"/>
        </w:numPr>
        <w:suppressAutoHyphens w:val="0"/>
        <w:spacing w:after="0"/>
        <w:ind w:left="1097"/>
        <w:jc w:val="both"/>
        <w:rPr>
          <w:rFonts w:asciiTheme="minorHAnsi" w:hAnsiTheme="minorHAnsi"/>
          <w:sz w:val="24"/>
          <w:szCs w:val="24"/>
        </w:rPr>
      </w:pPr>
      <w:r>
        <w:rPr>
          <w:rFonts w:asciiTheme="minorHAnsi" w:hAnsiTheme="minorHAnsi"/>
          <w:sz w:val="24"/>
          <w:szCs w:val="24"/>
        </w:rPr>
        <w:t>uzyskanie najlepszych efektów zamówienia w tym efektów społecznych, środowiskowych oraz gospodarczych</w:t>
      </w:r>
    </w:p>
    <w:p w14:paraId="6C0E7933" w14:textId="77777777" w:rsidR="00C728C5" w:rsidRDefault="00190865">
      <w:pPr>
        <w:pStyle w:val="Akapitzlist"/>
        <w:numPr>
          <w:ilvl w:val="0"/>
          <w:numId w:val="37"/>
        </w:numPr>
        <w:suppressAutoHyphens w:val="0"/>
        <w:spacing w:after="0"/>
        <w:ind w:left="1469"/>
        <w:jc w:val="both"/>
        <w:rPr>
          <w:rFonts w:asciiTheme="minorHAnsi" w:hAnsiTheme="minorHAnsi"/>
          <w:sz w:val="24"/>
          <w:szCs w:val="24"/>
        </w:rPr>
      </w:pPr>
      <w:r>
        <w:rPr>
          <w:rFonts w:asciiTheme="minorHAnsi" w:hAnsiTheme="minorHAnsi"/>
          <w:sz w:val="24"/>
          <w:szCs w:val="24"/>
        </w:rPr>
        <w:t>wszystkie trzy zadania będą mogły odbywać się równocześnie, zostanie skrócony czas wykonania zamówienia (inaczej ujmując: możliwość przyspieszenia wykonywania prac ze względu na termin realizacji zamówienia)</w:t>
      </w:r>
    </w:p>
    <w:p w14:paraId="024C91CB" w14:textId="77777777" w:rsidR="00C728C5" w:rsidRDefault="00190865">
      <w:pPr>
        <w:pStyle w:val="Akapitzlist"/>
        <w:numPr>
          <w:ilvl w:val="0"/>
          <w:numId w:val="35"/>
        </w:numPr>
        <w:suppressAutoHyphens w:val="0"/>
        <w:spacing w:after="0"/>
        <w:ind w:left="1469"/>
        <w:jc w:val="both"/>
        <w:rPr>
          <w:rFonts w:asciiTheme="minorHAnsi" w:hAnsiTheme="minorHAnsi"/>
          <w:sz w:val="24"/>
          <w:szCs w:val="24"/>
        </w:rPr>
      </w:pPr>
      <w:r>
        <w:rPr>
          <w:rFonts w:asciiTheme="minorHAnsi" w:hAnsiTheme="minorHAnsi"/>
          <w:sz w:val="24"/>
          <w:szCs w:val="24"/>
        </w:rPr>
        <w:t>głównym przedmiotem zamówienia są prace nad wymianą parkietu które stanowią 60% zamówienia, najlepszy efekt zostanie osiągnięty przy równoczesnym remoncie całości zamówienia; wykonawca może wykonać zamówienie z wspólnikiem lub posiłkować się podwykonawcami</w:t>
      </w:r>
    </w:p>
    <w:p w14:paraId="4E81BA63" w14:textId="77777777" w:rsidR="00C728C5" w:rsidRDefault="00190865">
      <w:pPr>
        <w:pStyle w:val="Akapitzlist"/>
        <w:numPr>
          <w:ilvl w:val="0"/>
          <w:numId w:val="35"/>
        </w:numPr>
        <w:suppressAutoHyphens w:val="0"/>
        <w:spacing w:after="0"/>
        <w:ind w:left="1469"/>
        <w:jc w:val="both"/>
        <w:rPr>
          <w:rFonts w:asciiTheme="minorHAnsi" w:hAnsiTheme="minorHAnsi"/>
          <w:sz w:val="24"/>
          <w:szCs w:val="24"/>
        </w:rPr>
      </w:pPr>
      <w:r>
        <w:rPr>
          <w:rFonts w:asciiTheme="minorHAnsi" w:hAnsiTheme="minorHAnsi"/>
          <w:sz w:val="24"/>
          <w:szCs w:val="24"/>
        </w:rPr>
        <w:t>jednostka zamawiającego w czasie robót musi zachować ciągłość swojej działalności, wykonywanie prac przez jednego wykonawcę skróci okres robót,</w:t>
      </w:r>
    </w:p>
    <w:p w14:paraId="61D85729" w14:textId="77777777" w:rsidR="00C728C5" w:rsidRDefault="00190865">
      <w:pPr>
        <w:pStyle w:val="Akapitzlist"/>
        <w:numPr>
          <w:ilvl w:val="0"/>
          <w:numId w:val="38"/>
        </w:numPr>
        <w:suppressAutoHyphens w:val="0"/>
        <w:spacing w:after="0"/>
        <w:ind w:left="1469"/>
        <w:jc w:val="both"/>
        <w:rPr>
          <w:rFonts w:asciiTheme="minorHAnsi" w:hAnsiTheme="minorHAnsi"/>
          <w:sz w:val="24"/>
          <w:szCs w:val="24"/>
        </w:rPr>
      </w:pPr>
      <w:r>
        <w:rPr>
          <w:rFonts w:asciiTheme="minorHAnsi" w:hAnsiTheme="minorHAnsi"/>
          <w:sz w:val="24"/>
          <w:szCs w:val="24"/>
        </w:rPr>
        <w:t>za wykonanie zamówienia będzie odpowiedzialny jeden podmiot, który otrzyma wynagrodzenie za odbiór robót po jego właściwym wykonaniu</w:t>
      </w:r>
    </w:p>
    <w:p w14:paraId="43949FA7" w14:textId="77777777" w:rsidR="00C728C5" w:rsidRDefault="00190865">
      <w:pPr>
        <w:spacing w:line="276" w:lineRule="auto"/>
        <w:ind w:left="737"/>
        <w:jc w:val="both"/>
        <w:rPr>
          <w:rFonts w:asciiTheme="minorHAnsi" w:hAnsiTheme="minorHAnsi"/>
        </w:rPr>
      </w:pPr>
      <w:r>
        <w:rPr>
          <w:rFonts w:asciiTheme="minorHAnsi" w:hAnsiTheme="minorHAnsi"/>
        </w:rPr>
        <w:t xml:space="preserve">Zamawiający tak sformułował swoje wymagania w opisie zamówienia, aby doprowadzić do efektywnego ekonomicznie wydatku publicznego. Zgodnie z art. 44 ust. 3 pkt 1 ustawy o finansach publicznych, wydatki publiczne powinny być dokonywane w sposób celowy i oszczędny, z zachowaniem zasad uzyskiwania najlepszych efektów z danych nakładów i optymalnego doboru metod i środków służących osiągnięciu założonych celów. </w:t>
      </w:r>
    </w:p>
    <w:p w14:paraId="37BDA8C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Postępowanie</w:t>
      </w:r>
    </w:p>
    <w:p w14:paraId="01FFBAD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Postępowanie prowadzone jest w trybie podstawowym bez możliwości przeprowadzenia negocjacji zgodnie z ustawą z dnia 11 września 2019 r. – Prawo zamówień publicznych (Dz.U. z 2019 r. poz. 2020 z późniejszymi zmianami, zwaną dalej „Ustawą”) dla zamówień o wartości mniejszej niż progi unijne.</w:t>
      </w:r>
    </w:p>
    <w:p w14:paraId="4AAFDC4A" w14:textId="7E4A6A36"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Postępowanie określone jest </w:t>
      </w:r>
      <w:r w:rsidRPr="000D04B9">
        <w:rPr>
          <w:rFonts w:ascii="Calibri" w:hAnsi="Calibri" w:cs="Calibri"/>
          <w:color w:val="auto"/>
          <w:kern w:val="3"/>
          <w:lang w:eastAsia="en-US"/>
        </w:rPr>
        <w:t xml:space="preserve">znakiem </w:t>
      </w:r>
      <w:r w:rsidR="000D04B9" w:rsidRPr="000D04B9">
        <w:rPr>
          <w:rFonts w:ascii="Calibri" w:hAnsi="Calibri" w:cs="Calibri"/>
          <w:bCs/>
          <w:color w:val="auto"/>
        </w:rPr>
        <w:t>DA/PZP/7/2022</w:t>
      </w:r>
      <w:r w:rsidRPr="000D04B9">
        <w:rPr>
          <w:rFonts w:ascii="Calibri" w:hAnsi="Calibri" w:cs="Calibri"/>
          <w:color w:val="auto"/>
          <w:kern w:val="3"/>
          <w:lang w:eastAsia="en-US"/>
        </w:rPr>
        <w:t>.</w:t>
      </w:r>
      <w:r>
        <w:rPr>
          <w:rFonts w:ascii="Calibri" w:hAnsi="Calibri" w:cs="Calibri"/>
          <w:color w:val="auto"/>
          <w:kern w:val="3"/>
          <w:lang w:eastAsia="en-US"/>
        </w:rPr>
        <w:t xml:space="preserve"> Wszelka korespondencja w sprawach związanych z postępowaniem powinna zawierać znak postępowania.</w:t>
      </w:r>
    </w:p>
    <w:p w14:paraId="57A2EB5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częściowych.</w:t>
      </w:r>
    </w:p>
    <w:p w14:paraId="202B14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wariantowych.</w:t>
      </w:r>
    </w:p>
    <w:p w14:paraId="2FC4901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Warunki udziału w postępowaniu</w:t>
      </w:r>
    </w:p>
    <w:p w14:paraId="22D927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spełniają warunki udziału w postępowaniu.</w:t>
      </w:r>
    </w:p>
    <w:p w14:paraId="7FC12BE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ustanawia poniższe warunki udziału w postępowaniu:</w:t>
      </w:r>
    </w:p>
    <w:p w14:paraId="30BF6550"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w okresie ostatnich pięciu lat przed upływem terminu składania ofert, a jeżeli okres prowadzenia działalności jest krótszy - w tym okresie, wykonał co najmniej:</w:t>
      </w:r>
    </w:p>
    <w:p w14:paraId="399E80B6" w14:textId="77777777" w:rsidR="00C728C5" w:rsidRDefault="00190865">
      <w:pPr>
        <w:numPr>
          <w:ilvl w:val="1"/>
          <w:numId w:val="5"/>
        </w:numPr>
        <w:tabs>
          <w:tab w:val="clear" w:pos="1440"/>
        </w:tabs>
        <w:spacing w:before="120" w:after="120" w:line="24" w:lineRule="atLeast"/>
        <w:ind w:left="1701"/>
        <w:jc w:val="both"/>
        <w:rPr>
          <w:rFonts w:ascii="Calibri" w:hAnsi="Calibri" w:cs="Calibri"/>
          <w:color w:val="auto"/>
        </w:rPr>
      </w:pPr>
      <w:r>
        <w:rPr>
          <w:rFonts w:ascii="Calibri" w:hAnsi="Calibri" w:cs="Calibri"/>
          <w:color w:val="auto"/>
        </w:rPr>
        <w:t>jedno zamówienie, które obejmowało wykonanie prac remontowych o wartości nie mniejszej niż 100 000 zł,</w:t>
      </w:r>
    </w:p>
    <w:p w14:paraId="10BC8702" w14:textId="77777777" w:rsidR="00C728C5" w:rsidRDefault="00190865">
      <w:pPr>
        <w:spacing w:before="120" w:after="120" w:line="24" w:lineRule="atLeast"/>
        <w:ind w:left="1701"/>
        <w:jc w:val="both"/>
        <w:rPr>
          <w:rFonts w:ascii="Calibri" w:hAnsi="Calibri" w:cs="Calibri"/>
          <w:color w:val="auto"/>
        </w:rPr>
      </w:pPr>
      <w:r>
        <w:rPr>
          <w:rFonts w:ascii="Calibri" w:hAnsi="Calibri" w:cs="Calibri"/>
          <w:color w:val="auto"/>
        </w:rPr>
        <w:t>oraz dodatkowo</w:t>
      </w:r>
    </w:p>
    <w:p w14:paraId="2B9416BE" w14:textId="77777777" w:rsidR="00C728C5" w:rsidRDefault="00190865">
      <w:pPr>
        <w:numPr>
          <w:ilvl w:val="1"/>
          <w:numId w:val="5"/>
        </w:numPr>
        <w:tabs>
          <w:tab w:val="clear" w:pos="1440"/>
        </w:tabs>
        <w:spacing w:before="120" w:after="120" w:line="24" w:lineRule="atLeast"/>
        <w:ind w:left="1701"/>
        <w:jc w:val="both"/>
        <w:rPr>
          <w:rFonts w:ascii="Calibri" w:hAnsi="Calibri" w:cs="Calibri"/>
          <w:color w:val="auto"/>
        </w:rPr>
      </w:pPr>
      <w:r>
        <w:rPr>
          <w:rFonts w:ascii="Calibri" w:hAnsi="Calibri" w:cs="Calibri"/>
          <w:color w:val="auto"/>
        </w:rPr>
        <w:t>jedno zamówienie, które obejmowało wykonanie prac montażu parkietu o wartości nie mniejszej niż 200 000 zł;</w:t>
      </w:r>
    </w:p>
    <w:p w14:paraId="6B3947A5"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był ubezpieczony od odpowiedzialności cywilnej w zakresie prowadzonej działalności związanej z przedmiotem zamówienia z sumą gwarancyjną minimum 200 000 zł.</w:t>
      </w:r>
    </w:p>
    <w:p w14:paraId="0F7E6FD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wartość zamówienia lub suma ubezpieczenia została wyrażona w walucie innej niż PLN,  Wykonawca zobowiązany jest do jej przeliczenia na PLN przyjmując jako podstawę średni kurs danej waluty opublikowany przez NBP (według tabeli średnich walut obcych) w dniu publikacji ogłoszenia o zamówieniu.</w:t>
      </w:r>
    </w:p>
    <w:p w14:paraId="009652E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F7CED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Podstawy wykluczenia</w:t>
      </w:r>
    </w:p>
    <w:p w14:paraId="3AC72DA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nie podlegają wykluczeniu.</w:t>
      </w:r>
    </w:p>
    <w:p w14:paraId="062E53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Podstawy wykluczenia określone są w art. 108 ust. 1 Ustawy, zgodnie z którym z postępowania o udzielenie zamówienia wyklucza się wykonawcę:</w:t>
      </w:r>
    </w:p>
    <w:p w14:paraId="3A523E4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którego prawomocnie skazano za przestępstwo:</w:t>
      </w:r>
    </w:p>
    <w:p w14:paraId="002D3E2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udziału w zorganizowanej grupie przestępczej albo związku mającym na celu popełnienie przestępstwa lub przestępstwa skarbowego, o którym mowa w art. 258 Kodeksu karnego,</w:t>
      </w:r>
    </w:p>
    <w:p w14:paraId="62B7509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handlu ludźmi, o którym mowa w art. 189a Kodeksu karnego,</w:t>
      </w:r>
    </w:p>
    <w:p w14:paraId="2D9C7213"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D11F5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AD122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charakterze terrorystycznym, o którym mowa w art. 115 § 20 Kodeksu karnego, lub mające na celu popełnienie tego przestępstwa,</w:t>
      </w:r>
    </w:p>
    <w:p w14:paraId="649EDE3A"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DC0326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AA9B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9 ust. 1 i 3 lub art. 10 ustawy z dnia 15 czerwca 2012 r. o skutkach powierzania wykonywania pracy cudzoziemcom przebywającym wbrew przepisom na terytorium Rzeczypospolitej Polskiej</w:t>
      </w:r>
    </w:p>
    <w:p w14:paraId="5E2E3EA1"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 lub za odpowiedni czyn zabroniony określony w przepisach prawa obcego;</w:t>
      </w:r>
    </w:p>
    <w:p w14:paraId="2F257C3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4C1ACF4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wobec którego wydano prawomocny wyrok sądu lub ostateczną decyzję administracyjną o zaleganiu z uiszczeniem podatków, opłat lub składek na </w:t>
      </w:r>
      <w:r>
        <w:rPr>
          <w:rFonts w:ascii="Calibri" w:hAnsi="Calibri" w:cs="Calibri"/>
          <w:color w:val="auto"/>
          <w:kern w:val="3"/>
          <w:lang w:eastAsia="en-US"/>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8F92D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prawomocnie orzeczono zakaz ubiegania się o zamówienia publiczne;</w:t>
      </w:r>
    </w:p>
    <w:p w14:paraId="0E01221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8599F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7112E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niniejszym postępowaniu zamawiający będzie stosował również podstawy wykluczenia określone  w art. 109 ust. 1 Ustawy, tj. wykluczy wykonawcę:</w:t>
      </w:r>
    </w:p>
    <w:p w14:paraId="68EF87F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dotyczące płatności podatków, opłat lub składek na ubezpieczenia społeczne lub zdrowotne, z wyjątkiem przypadku, o którym mowa w pkt V.2.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83F798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w dziedzinie ochrony środowiska, prawa socjalnego lub prawa pracy:</w:t>
      </w:r>
    </w:p>
    <w:p w14:paraId="4625FA5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w:t>
      </w:r>
      <w:r>
        <w:rPr>
          <w:rFonts w:ascii="Calibri" w:hAnsi="Calibri" w:cs="Calibri"/>
          <w:color w:val="auto"/>
          <w:kern w:val="3"/>
          <w:lang w:eastAsia="en-US"/>
        </w:rPr>
        <w:lastRenderedPageBreak/>
        <w:t>zabroniony określony w przepisach prawa obcego,</w:t>
      </w:r>
    </w:p>
    <w:p w14:paraId="3A02EF8B"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prawomocnie ukaranego za wykroczenie przeciwko prawom pracownika lub wykroczenie przeciwko środowisku, jeżeli za jego popełnienie wymierzono karę aresztu, ograniczenia wolności lub karę grzywny,</w:t>
      </w:r>
    </w:p>
    <w:p w14:paraId="1DAC89F4"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wydano ostateczną decyzję administracyjną o naruszeniu obowiązków wynikających z prawa ochrony środowiska, prawa pracy lub przepisów o zabezpieczeniu społecznym, jeżeli wymierzono tą decyzją karę pieniężną;</w:t>
      </w:r>
    </w:p>
    <w:p w14:paraId="7F35230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ppkt 2 lit. a lub b;</w:t>
      </w:r>
    </w:p>
    <w:p w14:paraId="348E28D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0F99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2343F5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występuje konflikt interesów w rozumieniu art. 56 ust. 2 Ustawy, którego nie można skutecznie wyeliminować w inny sposób niż przez wykluczenie wykonawcy;</w:t>
      </w:r>
    </w:p>
    <w:p w14:paraId="496EE7D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C1DB6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0B019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który bezprawnie wpływał lub próbował wpływać na czynności zamawiającego lub próbował pozyskać lub pozyskał informacje poufne, mogące dać mu przewagę w postępowaniu o udzielenie zamówienia;</w:t>
      </w:r>
    </w:p>
    <w:p w14:paraId="7749E64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lekkomyślności lub niedbalstwa przedstawił informacje wprowadzające w błąd, co mogło mieć istotny wpływ na decyzje podejmowane przez zamawiającego w postępowaniu o udzielenie zamówienia.</w:t>
      </w:r>
    </w:p>
    <w:p w14:paraId="691366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w art. 7 ust. 1 ustawy z dnia 13 kwietnia 2022 r. o szczególnych rozwiązaniach w zakresie przeciwdziałania wspieraniu agresji na Ukrainę oraz służących ochronie bezpieczeństwa narodowego, zgodnie z którym z postępowania o udzielenie zamówienia wyklucza się:</w:t>
      </w:r>
    </w:p>
    <w:p w14:paraId="2849F4E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wymienionego w wykazach określonych w rozporządzeniu 765/2006 i rozporządzeniu 269/2014 albo wpisanego na listę osób i podmiotów, wobec których są stosowane środki określone w tejże ustawie na podstawie decyzji w sprawie wpisu na listę rozstrzygającej o zastosowaniu środka w postaci wykluczenia z postępowania o udzielenie zamówienia publicznego;</w:t>
      </w:r>
    </w:p>
    <w:p w14:paraId="3844AE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w:t>
      </w:r>
    </w:p>
    <w:p w14:paraId="3DD9505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w:t>
      </w:r>
    </w:p>
    <w:p w14:paraId="54EC6C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Okresy wykluczenia dla poszczególnych podstaw wykluczenia określone są w art. 111 Ustawy.</w:t>
      </w:r>
    </w:p>
    <w:p w14:paraId="0CFDFD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podlega wykluczeniu w okolicznościach określonych w pkt. V.2 ppkt 1, 2 i 5 lub pkt. V.3. ppkt 2-5 i 7-10, jeżeli udowodni zamawiającemu, że spełnił łącznie przesłanki określone w art. 110 ust. 2 Ustawy a zamawiający oceni, że podjęte czynności są wystarczające do wykazania rzetelności wykonawcy.</w:t>
      </w:r>
    </w:p>
    <w:p w14:paraId="06FC39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Zamawiający może wykluczyć wykonawcę na każdym etapie postępowania o udzielenie zamówienia.</w:t>
      </w:r>
    </w:p>
    <w:p w14:paraId="152CC37D"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terminie składania ofert</w:t>
      </w:r>
    </w:p>
    <w:p w14:paraId="71543C3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złożenia oferty o treści określonej w formularzu oferty stanowiącym załącznik nr 3 do SWZ.</w:t>
      </w:r>
    </w:p>
    <w:p w14:paraId="479717D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wskaże w ofercie części zamówienia, których wykonanie powierzone zostanie podwykonawcom oraz poda nazwy</w:t>
      </w:r>
      <w:r>
        <w:rPr>
          <w:color w:val="auto"/>
        </w:rPr>
        <w:t xml:space="preserve"> </w:t>
      </w:r>
      <w:r>
        <w:rPr>
          <w:rFonts w:ascii="Calibri" w:hAnsi="Calibri" w:cs="Calibri"/>
          <w:color w:val="auto"/>
          <w:kern w:val="3"/>
          <w:lang w:eastAsia="en-US"/>
        </w:rPr>
        <w:t>podwykonawców wraz z przedmiotem umów o podwykonawstwo, dla których są oni proponowani.</w:t>
      </w:r>
    </w:p>
    <w:p w14:paraId="0A79A74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 oferty wykonawca dołącza oświadczenie o niepodleganiu wykluczeniu oraz spełnianiu warunków udziału w postępowaniu.</w:t>
      </w:r>
    </w:p>
    <w:p w14:paraId="781366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w jakim wykonawca powołuje się na jego zasoby.</w:t>
      </w:r>
    </w:p>
    <w:p w14:paraId="1B599551" w14:textId="77777777" w:rsidR="00C728C5" w:rsidRDefault="00190865">
      <w:pPr>
        <w:widowControl w:val="0"/>
        <w:numPr>
          <w:ilvl w:val="1"/>
          <w:numId w:val="2"/>
        </w:numPr>
        <w:autoSpaceDN w:val="0"/>
        <w:spacing w:after="57" w:line="276" w:lineRule="auto"/>
        <w:jc w:val="both"/>
        <w:rPr>
          <w:rFonts w:ascii="Calibri" w:hAnsi="Calibri" w:cs="Calibri"/>
          <w:color w:val="auto"/>
          <w:kern w:val="3"/>
          <w:u w:val="single"/>
          <w:lang w:eastAsia="en-US"/>
        </w:rPr>
      </w:pPr>
      <w:r>
        <w:rPr>
          <w:rFonts w:ascii="Calibri" w:hAnsi="Calibri" w:cs="Calibri"/>
          <w:color w:val="auto"/>
          <w:kern w:val="3"/>
          <w:u w:val="single"/>
          <w:lang w:eastAsia="en-US"/>
        </w:rPr>
        <w:t>Podsumowanie - w terminie składania ofert należy złożyć:</w:t>
      </w:r>
    </w:p>
    <w:p w14:paraId="56C1F5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(załącznik nr 3 do SWZ),</w:t>
      </w:r>
    </w:p>
    <w:p w14:paraId="69F42EB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oświadczenie o niepodleganiu wykluczeniu oraz spełnianiu warunków udziału w postępowaniu (załącznik nr 4 do SWZ),</w:t>
      </w:r>
    </w:p>
    <w:p w14:paraId="57B17FB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14:paraId="4F7E849F"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wykonawcy składają ofertę wspólnie zastosowanie mają dodatkowe zasady określone w rozdziale IX SWZ. W szczególności wymagane jest złożenie opisanego tam oświadczenia, z którego wynika, które roboty budowlane, dostawy lub usługi wykonają poszczególni wykonawcy, a także złożenie oświadczenia o niepodleganiu wykluczeniu oraz spełnianiu warunków udziału w postępowaniu przez każdego z wykonawców.</w:t>
      </w:r>
    </w:p>
    <w:p w14:paraId="43B2B77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inny </w:t>
      </w:r>
      <w:r>
        <w:rPr>
          <w:rFonts w:ascii="Calibri" w:hAnsi="Calibri" w:cs="Calibri"/>
          <w:color w:val="auto"/>
          <w:kern w:val="3"/>
          <w:lang w:eastAsia="en-US"/>
        </w:rPr>
        <w:lastRenderedPageBreak/>
        <w:t>podmiotowy środek dowodowy potwierdzający, że wykonawca realizując zamówienie, będzie dysponował niezbędnymi zasobami tych podmiotów, a także złożenie oświadczenia podmiotu udostępniającego zasoby o niepodleganiu wykluczeniu oraz spełnianiu warunków udziału w postępowaniu (załącznik nr 5 do SWZ).</w:t>
      </w:r>
    </w:p>
    <w:p w14:paraId="3A35BCD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późniejszym terminie</w:t>
      </w:r>
    </w:p>
    <w:p w14:paraId="3A9AE8D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wezwie wykonawcę, którego oferta została najwyżej oceniona, do złożenia w wyznaczonym terminie, nie krótszym niż 5 dni od dnia wezwania, podmiotowych środków dowodowych aktualnych na dzień ich złożenia.</w:t>
      </w:r>
    </w:p>
    <w:p w14:paraId="63E42ED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14:paraId="43E4DB2C"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bookmarkStart w:id="5" w:name="_Hlk108004383"/>
      <w:r>
        <w:rPr>
          <w:rFonts w:cs="Calibri"/>
          <w:color w:val="auto"/>
          <w:kern w:val="3"/>
          <w:sz w:val="24"/>
          <w:szCs w:val="24"/>
        </w:rPr>
        <w:t xml:space="preserve">wykaz robót budowlanych </w:t>
      </w:r>
      <w:bookmarkStart w:id="6" w:name="_Hlk108003846"/>
      <w:r>
        <w:rPr>
          <w:rFonts w:cs="Calibri"/>
          <w:color w:val="auto"/>
          <w:kern w:val="3"/>
          <w:sz w:val="24"/>
          <w:szCs w:val="24"/>
        </w:rPr>
        <w:t xml:space="preserve">(według załącznika nr 6 do SWZ) </w:t>
      </w:r>
      <w:bookmarkEnd w:id="6"/>
      <w:r>
        <w:rPr>
          <w:rFonts w:cs="Calibri"/>
          <w:color w:val="auto"/>
          <w:kern w:val="3"/>
          <w:sz w:val="24"/>
          <w:szCs w:val="24"/>
        </w:rPr>
        <w:t xml:space="preserve">– </w:t>
      </w:r>
      <w:bookmarkEnd w:id="5"/>
      <w:r>
        <w:rPr>
          <w:rFonts w:cs="Calibri"/>
          <w:color w:val="auto"/>
          <w:kern w:val="3"/>
          <w:sz w:val="24"/>
          <w:szCs w:val="24"/>
        </w:rPr>
        <w:t>w zakresie potwierdzającym spełnianie ustanowionego warunku udziału w postępowaniu – wraz z podaniem ich rodzaju, wartości, daty i miejsca wykonania oraz podmiotów, na rzecz których roboty te zostały wykonane, wykaz dotyczy robót budowalnych wykonanych nie wcześniej niż w okresie ostatnich 5 lat, a jeżeli okres prowadzenia działalności jest krótszy - w tym okresie;</w:t>
      </w:r>
    </w:p>
    <w:p w14:paraId="3DB8F942" w14:textId="77777777" w:rsidR="00C728C5" w:rsidRDefault="0019086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 xml:space="preserve">jeżeli wykonawca powołuje się na doświadczenie w realizacji robót budowlanych wykonywanych wspólnie z innymi wykonawcami, wykaz dotyczy robót budowlanych, w których wykonaniu wykonawca ten bezpośrednio uczestniczył; </w:t>
      </w:r>
    </w:p>
    <w:p w14:paraId="7C3F1D62"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dowody określające, czy wskazane w wykazie roboty budowlane zostały wykonane należycie tj. referencje bądź inne dokumenty sporządzone przez podmiot, na rzecz którego roboty budowlane zostały wykonane, a jeżeli wykonawca z przyczyn niezależnych od niego nie jest w stanie uzyskać tych dokumentów - inne odpowiednie dokumenty;</w:t>
      </w:r>
    </w:p>
    <w:p w14:paraId="1C573296"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dokumenty potwierdzające, że wykonawca jest ubezpieczony od odpowiedzialności cywilnej w zakresie prowadzonej działalności związanej z przedmiotem zamówienia,</w:t>
      </w:r>
    </w:p>
    <w:p w14:paraId="583C733E" w14:textId="77777777" w:rsidR="00C728C5" w:rsidRDefault="00190865">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z uzasadnionej przyczyny wykonawca nie może złożyć wymaganych  w niniejszym podpunkcie dokumentów, wykonawca składa inne podmiotowe środki dowodowe, które w wystarczający sposób potwierdzają spełnianie opisanego przez zamawiającego warunku udziału w postępowaniu dotyczącego sytuacji ekonomicznej lub finansowej.</w:t>
      </w:r>
    </w:p>
    <w:p w14:paraId="221DE7B1" w14:textId="77777777" w:rsidR="00C728C5" w:rsidRDefault="00190865">
      <w:pPr>
        <w:widowControl w:val="0"/>
        <w:numPr>
          <w:ilvl w:val="1"/>
          <w:numId w:val="2"/>
        </w:numPr>
        <w:autoSpaceDN w:val="0"/>
        <w:spacing w:after="57" w:line="276" w:lineRule="auto"/>
        <w:jc w:val="both"/>
        <w:rPr>
          <w:rFonts w:ascii="Calibri" w:hAnsi="Calibri" w:cs="Calibri"/>
          <w:color w:val="FF0000"/>
          <w:kern w:val="3"/>
          <w:lang w:eastAsia="en-US"/>
        </w:rPr>
      </w:pPr>
      <w:r>
        <w:rPr>
          <w:rFonts w:ascii="Calibri" w:hAnsi="Calibri" w:cs="Calibri"/>
          <w:color w:val="auto"/>
          <w:kern w:val="3"/>
          <w:lang w:eastAsia="en-US"/>
        </w:rPr>
        <w:t>Jeżeli wykonawca polega na zdolnościach lub sytuacji innego podmiotu zastosowanie mają dodatkowe zasady określone w rozdziale X SWZ.</w:t>
      </w:r>
    </w:p>
    <w:p w14:paraId="704E46C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Szczególne zasady dotyczące składania, uzupełniania i wyjaśniania dokumentów</w:t>
      </w:r>
    </w:p>
    <w:p w14:paraId="05FEBD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jest zobowiązany do złożenia podmiotowych środków dowodowych, które zamawiający posiada, jeżeli wykonawca wskaże te środki oraz potwierdzi ich prawidłowość i aktualność.</w:t>
      </w:r>
    </w:p>
    <w:p w14:paraId="18AF227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14:paraId="11CAA78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8A57B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Powyższe dotyczy odpowiednio również podmiotu udostępniającego zasoby.</w:t>
      </w:r>
    </w:p>
    <w:p w14:paraId="2452CCC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8615CE"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oferta wykonawcy podlegają odrzuceniu bez względu na ich złożenie, uzupełnienie lub poprawienie lub</w:t>
      </w:r>
    </w:p>
    <w:p w14:paraId="0DFF45D3"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zachodzą przesłanki unieważnienia postępowania.</w:t>
      </w:r>
    </w:p>
    <w:p w14:paraId="152655C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Wykonawca składa podmiotowe środki dowodowe na powyższe wezwanie aktualne na dzień ich złożenia.</w:t>
      </w:r>
    </w:p>
    <w:p w14:paraId="7AB611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14:paraId="35D11E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złożone przez wykonawcę oświadczenie o niepodleganiu wykluczeniu oraz </w:t>
      </w:r>
      <w:r>
        <w:rPr>
          <w:rFonts w:ascii="Calibri" w:hAnsi="Calibri" w:cs="Calibri"/>
          <w:color w:val="auto"/>
          <w:kern w:val="3"/>
          <w:lang w:eastAsia="en-US"/>
        </w:rPr>
        <w:lastRenderedPageBreak/>
        <w:t>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2822F3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Wspólne ubieganie się o udzielenie zamówienia</w:t>
      </w:r>
    </w:p>
    <w:p w14:paraId="475AA3D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14:paraId="7B4BDB1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Spółka cywilna jest formą wspólnego ubiegania się o udzielenie zamówienia przez jej wspólników.</w:t>
      </w:r>
    </w:p>
    <w:p w14:paraId="28213B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zamówienie przez wykonawców oświadczenie o niepodleganiu wykluczeniu oraz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1DE8192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Wówczas, wykonawcy wspólnie ubiegający się o udzielenie zamówienia dołączają do oferty oświadczenie, z którego wynika, które roboty budowlane, dostawy lub usługi wykonają poszczególni wykonawcy.</w:t>
      </w:r>
    </w:p>
    <w:p w14:paraId="6C1A6F1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wykonawców wspólnie ubiegających się o udzielenie zamówienia oferta powinna być podpisana przez ustanowionego pełnomocnika lub wszystkich wykonawców wspólnie ubiegających się o udzielenie zamówienia.</w:t>
      </w:r>
    </w:p>
    <w:p w14:paraId="4D23E752" w14:textId="096B1E4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udzielenie zamówienia korespondencja zamawiającego będ</w:t>
      </w:r>
      <w:r w:rsidR="00CC6532">
        <w:rPr>
          <w:rFonts w:ascii="Calibri" w:hAnsi="Calibri" w:cs="Calibri"/>
          <w:color w:val="auto"/>
          <w:kern w:val="3"/>
          <w:lang w:eastAsia="en-US"/>
        </w:rPr>
        <w:t>zie</w:t>
      </w:r>
      <w:r>
        <w:rPr>
          <w:rFonts w:ascii="Calibri" w:hAnsi="Calibri" w:cs="Calibri"/>
          <w:color w:val="auto"/>
          <w:kern w:val="3"/>
          <w:lang w:eastAsia="en-US"/>
        </w:rPr>
        <w:t xml:space="preserve"> przekazywan</w:t>
      </w:r>
      <w:r w:rsidR="00CC6532">
        <w:rPr>
          <w:rFonts w:ascii="Calibri" w:hAnsi="Calibri" w:cs="Calibri"/>
          <w:color w:val="auto"/>
          <w:kern w:val="3"/>
          <w:lang w:eastAsia="en-US"/>
        </w:rPr>
        <w:t>a</w:t>
      </w:r>
      <w:r>
        <w:rPr>
          <w:rFonts w:ascii="Calibri" w:hAnsi="Calibri" w:cs="Calibri"/>
          <w:color w:val="auto"/>
          <w:kern w:val="3"/>
          <w:lang w:eastAsia="en-US"/>
        </w:rPr>
        <w:t xml:space="preserve"> pełnomocnikowi wykonawców.</w:t>
      </w:r>
    </w:p>
    <w:p w14:paraId="756E104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wspólnie ubiegający się o udzielenie zamówienia ponoszą solidarną odpowiedzialność za wykonanie umowy i wniesienie zabezpieczenia należytego wykonania umowy (jeśli zabezpieczenie jest wymagane).</w:t>
      </w:r>
    </w:p>
    <w:p w14:paraId="1A73455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Poleganie na zasobach podmiotu trzeciego</w:t>
      </w:r>
    </w:p>
    <w:p w14:paraId="5336FFE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w celu potwierdzenia spełniania warunków udziału w postępowaniu, w stosownych sytuacjach oraz w odniesieniu do konkretnego </w:t>
      </w:r>
      <w:r>
        <w:rPr>
          <w:rFonts w:ascii="Calibri" w:hAnsi="Calibri" w:cs="Calibri"/>
          <w:color w:val="auto"/>
          <w:kern w:val="3"/>
          <w:lang w:eastAsia="en-US"/>
        </w:rPr>
        <w:lastRenderedPageBreak/>
        <w:t>zamówienia, lub jego części, polegać na zdolnościach technicznych lub zawodowych lub sytuacji finansowej lub ekonomicznej podmiotów udostępniających zasoby, niezależnie od charakteru prawnego łączących go z nimi stosunków prawnych.</w:t>
      </w:r>
    </w:p>
    <w:p w14:paraId="000331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583894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2357BF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14:paraId="08E2D73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zakres dostępnych wykonawcy zasobów podmiotu udostępniającego zasoby;</w:t>
      </w:r>
    </w:p>
    <w:p w14:paraId="016644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i okres udostępnienia wykonawcy i wykorzystania przez niego zasobów podmiotu udostępniającego te zasoby przy wykonywaniu zamówienia;</w:t>
      </w:r>
    </w:p>
    <w:p w14:paraId="4B4F4FF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BCA61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2C3D2F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7" w:name="_Hlk104202370"/>
      <w:r>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bookmarkEnd w:id="7"/>
    <w:p w14:paraId="4246C0B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5CD6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zdolności techniczne lub zawodowe, sytuacja ekonomiczna lub finansowa </w:t>
      </w:r>
      <w:r>
        <w:rPr>
          <w:rFonts w:ascii="Calibri" w:hAnsi="Calibri" w:cs="Calibri"/>
          <w:color w:val="auto"/>
          <w:kern w:val="3"/>
          <w:lang w:eastAsia="en-US"/>
        </w:rPr>
        <w:lastRenderedPageBreak/>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A821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20C91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Wyjaśnienia i zmiany specyfikacji warunków zamówienia</w:t>
      </w:r>
    </w:p>
    <w:p w14:paraId="0CCEFF4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14:paraId="7C24EA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ma obowiązek udzielenia wyjaśnień jedynie w przypadku tych wniosków o wyjaśnienie, które wpłynęły do zamawiającego nie później niż na 4 dni przed upływem terminu składania ofert. Po tym terminie zamawiający może, ale nie musi odpowiedzieć na wniosek o wyjaśnienie. Przedłużenie terminu składania ofert nie wpływa na bieg terminu składania wniosku o wyjaśnienie.</w:t>
      </w:r>
    </w:p>
    <w:p w14:paraId="2F391C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14:paraId="3D0C73F4"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Komunikacja z wykonawcami</w:t>
      </w:r>
    </w:p>
    <w:p w14:paraId="21C9303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języku polskim.</w:t>
      </w:r>
    </w:p>
    <w:p w14:paraId="3E4B2F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14:paraId="656C2D4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między zamawiającym a wykonawcami odbywa się przy użyciu miniPortalu https://miniportal.uzp.gov.pl/   ePUAPu https://epuap.gov.pl/wps/portal/ oraz poczty elektronicznej.</w:t>
      </w:r>
    </w:p>
    <w:p w14:paraId="0212F78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Złożenie i wycofanie oferty odbywa się wyłącznie w sposób opisany w rozdziale XIV.</w:t>
      </w:r>
    </w:p>
    <w:p w14:paraId="2CAFE3D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Oświadczenia, wnioski, zawiadomienia oraz informacje w postępowaniu przekazuje się elektronicznie:</w:t>
      </w:r>
    </w:p>
    <w:p w14:paraId="72C4A67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pośrednictwem dedykowanego formularza dostępnego na ePUAP oraz </w:t>
      </w:r>
      <w:r>
        <w:rPr>
          <w:rFonts w:ascii="Calibri" w:hAnsi="Calibri" w:cs="Calibri"/>
          <w:color w:val="auto"/>
          <w:kern w:val="3"/>
          <w:lang w:eastAsia="en-US"/>
        </w:rPr>
        <w:lastRenderedPageBreak/>
        <w:t>udostępnionego przez miniPortal (Formularz do komunikacji) na adres skrytki ePUAP: /dworartusa/SkrytkaESP jako załączniki, lub</w:t>
      </w:r>
    </w:p>
    <w:p w14:paraId="7D3321A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 pomocą poczty elektronicznej, na adres email wskazany w pkt I.2.</w:t>
      </w:r>
    </w:p>
    <w:p w14:paraId="2D9E2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Adres poczty elektronicznej użyty przez wykonawcę uważa się za adres poczty elektronicznej wykonawcy, chyba że wyraźnie odmiennie jest wskazane w treści pisma.</w:t>
      </w:r>
    </w:p>
    <w:p w14:paraId="285E44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ustna dopuszczalna jest w odniesieniu do informacji, które nie są istotne, w szczególności nie dotyczą ogłoszenia o zamówieniu lub dokumentów zamówienia, o ile jej treść jest udokumentowana.</w:t>
      </w:r>
    </w:p>
    <w:p w14:paraId="437A69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olor w:val="auto"/>
          <w:kern w:val="3"/>
          <w:lang w:eastAsia="en-US"/>
        </w:rPr>
        <w:t xml:space="preserve">Osoba upoważniona do bezpośredniego kontaktowania się z wykonawcami została </w:t>
      </w:r>
      <w:r>
        <w:rPr>
          <w:rFonts w:ascii="Calibri" w:hAnsi="Calibri" w:cs="Calibri"/>
          <w:color w:val="auto"/>
          <w:kern w:val="3"/>
          <w:lang w:eastAsia="en-US"/>
        </w:rPr>
        <w:t>wskazana rozdziale I specyfikacji.</w:t>
      </w:r>
    </w:p>
    <w:p w14:paraId="4A346E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 datę przekazania oferty, wniosków, zawiadomień, dokumentów elektronicznych, oświadczeń lub elektronicznych kopii dokumentów lub oświadczeń oraz innych informacji przyjmuje się datę ich przekazania na ePUAP lub serwer pocztowy adresata.</w:t>
      </w:r>
    </w:p>
    <w:p w14:paraId="5882289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Wymogi techniczne stosowanych środków komunikacji elektronicznej</w:t>
      </w:r>
    </w:p>
    <w:p w14:paraId="145BC4A8"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Wykonawca zamierzający wziąć udział w postępowaniu o udzielenie zamówienia publicznego, musi posiadać konto na ePUAP. Jest ono niezbędne w celu złożenia oferty w niniejszym postępowaniu. Wykonawca posiadający konto na ePUAP ma dostęp do formularza do złożenia, zmiany, wycofania oferty lub wniosku oraz do formularza do komunikacji.</w:t>
      </w:r>
    </w:p>
    <w:p w14:paraId="1F94236C"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Wymagania techniczne i organizacyjne wysyłania i odbierania dokumentów elektronicznych, elektronicznych kopii dokumentów i oświadczeń oraz informacji przekazywanych przy ich użyciu opisane zostały w Regulaminie korzystania z miniPortalu (https://miniportal.uzp.gov.pl/WarunkiUslugi) oraz Warunkach korzystania z elektronicznej platformy usług administracji publicznej ePUAP (https://epuap.gov.pl/wps/portal/strefa-klienta/regulamin).</w:t>
      </w:r>
    </w:p>
    <w:p w14:paraId="111F972A"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 xml:space="preserve">Maksymalny rozmiar plików przesyłanych za pośrednictwem dedykowanych formularzy wynosi 150 MB. </w:t>
      </w:r>
    </w:p>
    <w:p w14:paraId="03F6F13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Sposób przygotowania i złożenia oferty</w:t>
      </w:r>
    </w:p>
    <w:p w14:paraId="338F8A7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składa ofertę za pośrednictwem formularza do złożenia, zmiany, wycofania oferty lub wniosku dostępnego na ePUAP i udostępnionego również za pośrednictwem miniPortalu. We wskazanym formularzu wykonawca zobowiązany jest podać adres skrzynki ePUAP, przy użyciu której prowadzona będzie korespondencja związana z postępowaniem.</w:t>
      </w:r>
    </w:p>
    <w:p w14:paraId="24C0C543" w14:textId="4CE305DC"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przekazuje link do postępowania na miniPortalu: </w:t>
      </w:r>
      <w:r w:rsidR="000F65DE" w:rsidRPr="000F65DE">
        <w:rPr>
          <w:rFonts w:ascii="Calibri" w:hAnsi="Calibri" w:cs="Calibri"/>
          <w:color w:val="auto"/>
          <w:kern w:val="3"/>
          <w:lang w:eastAsia="en-US"/>
        </w:rPr>
        <w:lastRenderedPageBreak/>
        <w:t>https://miniportal.uzp.gov.pl/Postepowania/843cf73b-df34-4b77-be22-3fefd43a3003</w:t>
      </w:r>
    </w:p>
    <w:p w14:paraId="125C6BB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Na stronie postępowania na miniPortalu dostępna jest funkcjonalność szyfrowania oferty przez Wykonawcę.</w:t>
      </w:r>
    </w:p>
    <w:p w14:paraId="7E9E07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Dane postępowanie można wyszukać również na Liście wszystkich postępowań w miniPortalu klikając wcześniej opcję „Dla Wykonawców” lub ze strony głównej z zakładki Postępowania. </w:t>
      </w:r>
    </w:p>
    <w:p w14:paraId="0F9965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złożenia oferty/wniosku, w tym zaszyfrowania oferty opisany został w Instrukcji użytkownika systemu miniPortal:</w:t>
      </w:r>
    </w:p>
    <w:p w14:paraId="0AE1FC07"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(https://miniportal.uzp.gov.pl/InstrukcjaUzytkownikaSystemuMiniPortalePUAP.pdf)</w:t>
      </w:r>
    </w:p>
    <w:p w14:paraId="1A8E5AA2" w14:textId="4F5FF02A"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przekazuje ID postępowania z miniPortalu: </w:t>
      </w:r>
      <w:r w:rsidR="00AD4D68">
        <w:t>843cf73b-df34-4b77-be22-3fefd43a3003</w:t>
      </w:r>
      <w:bookmarkStart w:id="8" w:name="_GoBack"/>
      <w:bookmarkEnd w:id="8"/>
    </w:p>
    <w:p w14:paraId="6237B445" w14:textId="77777777" w:rsidR="00C728C5" w:rsidRDefault="00190865">
      <w:pPr>
        <w:widowControl w:val="0"/>
        <w:autoSpaceDN w:val="0"/>
        <w:spacing w:after="57" w:line="276" w:lineRule="auto"/>
        <w:ind w:left="737"/>
        <w:jc w:val="both"/>
        <w:rPr>
          <w:rFonts w:ascii="Calibri" w:hAnsi="Calibri" w:cs="Calibri"/>
          <w:color w:val="F79646" w:themeColor="accent6"/>
          <w:kern w:val="3"/>
          <w:highlight w:val="cyan"/>
          <w:lang w:eastAsia="en-US"/>
        </w:rPr>
      </w:pPr>
      <w:r>
        <w:rPr>
          <w:rFonts w:ascii="Calibri" w:hAnsi="Calibri" w:cs="Calibri"/>
          <w:color w:val="auto"/>
          <w:kern w:val="3"/>
          <w:lang w:eastAsia="en-US"/>
        </w:rPr>
        <w:t>Może on być wykorzystywany jako alternatywny sposób identyfikacji postępowania, w którym składana jest oferta w formularzu do złożenia, zmiany, wycofania oferty lub wniosku. Zamawiający zaleca jednak identyfikację postępowania przez podanie numer ogłoszenia BZP (wtedy dane postepowania zaciągną się automatycznie i jest możliwa ich weryfikacja).</w:t>
      </w:r>
    </w:p>
    <w:p w14:paraId="0E0B96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dokumenty elektroniczne, przekazywane przy użyciu środków komunikacji elektronicznej, zawierają informacje stanowiące tajemnicę przedsiębiorstwa w rozumieniu przepisów o zwalczaniu nieuczciwej konkurencji, wykonawca, w celu</w:t>
      </w:r>
      <w:r>
        <w:rPr>
          <w:rFonts w:ascii="Calibri" w:hAnsi="Calibri" w:cs="Calibri"/>
          <w:color w:val="auto"/>
          <w:kern w:val="3"/>
          <w:lang w:eastAsia="en-US"/>
        </w:rPr>
        <w:br/>
        <w:t>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98B7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Wszystkie pliki stanowiące ofertę i przekazywane wraz z ofertą należy przed złożeniem zaszyfrować korzystając z odpowiedniej funkcjonalności miniPortalu.</w:t>
      </w:r>
    </w:p>
    <w:p w14:paraId="16BA6EB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Każdy wykonawca może złożyć tylko jedną ofertę.</w:t>
      </w:r>
    </w:p>
    <w:p w14:paraId="0936F88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powinna być złożona przy wykorzystaniu formularza oferty stanowiącego załącznik nr 3 do SIWZ.</w:t>
      </w:r>
    </w:p>
    <w:p w14:paraId="1CE9A2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4A0F80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może być złożona tylko do upływu terminu składania ofert.</w:t>
      </w:r>
    </w:p>
    <w:p w14:paraId="4FC5768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po upływie terminu do składania ofert nie może skutecznie dokonać zmiany ani wycofać złożonej oferty.</w:t>
      </w:r>
    </w:p>
    <w:p w14:paraId="6561DA8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odnośnie sposobu sporządzenia oferty oraz dokumentów</w:t>
      </w:r>
    </w:p>
    <w:p w14:paraId="760A89E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D5910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Oferty, oświadczenie o niepodleganiu wykluczeniu oraz spełnianiu warunków udziału w postępowaniu, podmiotowe środki dowodowe, </w:t>
      </w:r>
      <w:bookmarkStart w:id="9" w:name="_Hlk104200050"/>
      <w:r>
        <w:rPr>
          <w:rFonts w:ascii="Calibri" w:hAnsi="Calibri" w:cs="Calibri"/>
          <w:color w:val="auto"/>
          <w:kern w:val="3"/>
          <w:lang w:eastAsia="en-US"/>
        </w:rPr>
        <w:t>w tym oświadczenie, o którym mowa w pkt IX.4.</w:t>
      </w:r>
      <w:bookmarkEnd w:id="9"/>
      <w:r>
        <w:rPr>
          <w:rFonts w:ascii="Calibri" w:hAnsi="Calibri" w:cs="Calibri"/>
          <w:color w:val="auto"/>
          <w:kern w:val="3"/>
          <w:lang w:eastAsia="en-US"/>
        </w:rPr>
        <w:t xml:space="preserve"> oraz zobowiązanie podmiotu udostępniającego zasoby, przedmiotowe środki dowodowe, pełnomocnictwo, sporządza się w postaci elektronicznej.</w:t>
      </w:r>
    </w:p>
    <w:p w14:paraId="2CD13D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Informacje, oświadczenia lub dokumenty, inne niż określone w punkcie powyżej, przekazywane w postępowaniu, sporządza się w postaci elektronicznej lub jako tekst wpisany bezpośrednio do wiadomości przekazywanej przy użyciu środków komunikacji elektronicznej.</w:t>
      </w:r>
    </w:p>
    <w:p w14:paraId="721FA80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Dopuszczone są m.in. następujące formaty przesyłanych danych: .pdf, .doc, .docx, .odt, .rtf,.xls, xlsx, .ods. </w:t>
      </w:r>
    </w:p>
    <w:p w14:paraId="437D4CD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oraz oświadczenie o niepodleganiu wykluczeniu oraz spełnianiu warunków udziału w postępowaniu, składa się, pod rygorem nieważności, w formie elektronicznej lub w postaci elektronicznej opatrzonej podpisem zaufanym lub podpisem osobistym.</w:t>
      </w:r>
    </w:p>
    <w:p w14:paraId="38F98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D025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gdy dokumenty wskazane w punkcie powyżej zostały wystawione przez upoważnione podmioty jako dokument w postaci papierowej, przekazuje się cyfrowe odwzorowanie tego dokumentu opatrzone kwalifikowanym podpisem elektronicznym, podpisem zaufanym lub podpisem osobistym, poświadczające </w:t>
      </w:r>
      <w:r>
        <w:rPr>
          <w:rFonts w:ascii="Calibri" w:hAnsi="Calibri" w:cs="Calibri"/>
          <w:color w:val="auto"/>
          <w:kern w:val="3"/>
          <w:lang w:eastAsia="en-US"/>
        </w:rPr>
        <w:lastRenderedPageBreak/>
        <w:t>zgodność cyfrowego odwzorowania z dokumentem w postaci papierowej.</w:t>
      </w:r>
    </w:p>
    <w:p w14:paraId="443868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dokonuje w przypadku:</w:t>
      </w:r>
    </w:p>
    <w:p w14:paraId="4303DB5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602FAD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przedmiotowych środków dowodowych - odpowiednio wykonawca lub wykonawca wspólnie ubiegający się o udzielenie zamówienia;</w:t>
      </w:r>
    </w:p>
    <w:p w14:paraId="3B5CE5B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14:paraId="75E5636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C22B8D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Podmiotowe środki dowodowe, w tym oświadczenie, o którym mowa w pkt IX.4.,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B1ABF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gdy podmiotowe środki dowodowe, </w:t>
      </w:r>
      <w:bookmarkStart w:id="10" w:name="_Hlk104200113"/>
      <w:r>
        <w:rPr>
          <w:rFonts w:ascii="Calibri" w:hAnsi="Calibri" w:cs="Calibri"/>
          <w:color w:val="auto"/>
          <w:kern w:val="3"/>
          <w:lang w:eastAsia="en-US"/>
        </w:rPr>
        <w:t xml:space="preserve">w tym </w:t>
      </w:r>
      <w:bookmarkStart w:id="11" w:name="_Hlk104200253"/>
      <w:r>
        <w:rPr>
          <w:rFonts w:ascii="Calibri" w:hAnsi="Calibri" w:cs="Calibri"/>
          <w:color w:val="auto"/>
          <w:kern w:val="3"/>
          <w:lang w:eastAsia="en-US"/>
        </w:rPr>
        <w:t>oświadczenie, o którym mowa w pkt IX.4.</w:t>
      </w:r>
      <w:bookmarkEnd w:id="10"/>
      <w:bookmarkEnd w:id="11"/>
      <w:r>
        <w:rPr>
          <w:rFonts w:ascii="Calibri" w:hAnsi="Calibri" w:cs="Calibri"/>
          <w:color w:val="auto"/>
          <w:kern w:val="3"/>
          <w:lang w:eastAsia="en-US"/>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C2B4A5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o którym mowa punkcie powyżej, dokonuje w przypadku:</w:t>
      </w:r>
    </w:p>
    <w:p w14:paraId="13CFCE5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14:paraId="262C88B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przedmiotowego środka dowodowego, oświadczenie, o którym mowa w pkt IX.4., lub zobowiązania podmiotu udostępniającego zasoby - odpowiednio </w:t>
      </w:r>
      <w:r>
        <w:rPr>
          <w:rFonts w:ascii="Calibri" w:hAnsi="Calibri" w:cs="Calibri"/>
          <w:color w:val="auto"/>
          <w:kern w:val="3"/>
          <w:lang w:eastAsia="en-US"/>
        </w:rPr>
        <w:lastRenderedPageBreak/>
        <w:t>wykonawca lub wykonawca wspólnie ubiegający się o udzielenie zamówienia;</w:t>
      </w:r>
    </w:p>
    <w:p w14:paraId="1584F66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pełnomocnictwa - mocodawca.</w:t>
      </w:r>
    </w:p>
    <w:p w14:paraId="28EC6EF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może dokonać również notariusz.</w:t>
      </w:r>
    </w:p>
    <w:p w14:paraId="11697BA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BA916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dotyczące wadium</w:t>
      </w:r>
    </w:p>
    <w:p w14:paraId="0E6942C3"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Zamawiający nie wymaga wniesienia wadium.</w:t>
      </w:r>
    </w:p>
    <w:p w14:paraId="7732EF9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Terminy składania ofert, otwarcia ofert i związania ofertą</w:t>
      </w:r>
    </w:p>
    <w:p w14:paraId="781EF30F" w14:textId="0B4C151F"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składania ofert </w:t>
      </w:r>
      <w:r w:rsidRPr="001F6044">
        <w:rPr>
          <w:rFonts w:ascii="Calibri" w:hAnsi="Calibri" w:cs="Calibri"/>
          <w:color w:val="auto"/>
          <w:kern w:val="3"/>
          <w:lang w:eastAsia="en-US"/>
        </w:rPr>
        <w:t xml:space="preserve">upływa </w:t>
      </w:r>
      <w:r w:rsidR="001F6044" w:rsidRPr="001F6044">
        <w:rPr>
          <w:rFonts w:ascii="Calibri" w:hAnsi="Calibri" w:cs="Calibri"/>
          <w:color w:val="auto"/>
          <w:kern w:val="3"/>
          <w:u w:val="single"/>
          <w:lang w:eastAsia="en-US"/>
        </w:rPr>
        <w:t>10</w:t>
      </w:r>
      <w:r w:rsidR="006F613B" w:rsidRPr="001F6044">
        <w:rPr>
          <w:rFonts w:ascii="Calibri" w:hAnsi="Calibri" w:cs="Calibri"/>
          <w:color w:val="auto"/>
          <w:kern w:val="3"/>
          <w:u w:val="single"/>
          <w:lang w:eastAsia="en-US"/>
        </w:rPr>
        <w:t xml:space="preserve"> </w:t>
      </w:r>
      <w:r w:rsidR="001F6044" w:rsidRPr="001F6044">
        <w:rPr>
          <w:rFonts w:ascii="Calibri" w:hAnsi="Calibri" w:cs="Calibri"/>
          <w:color w:val="auto"/>
          <w:kern w:val="3"/>
          <w:u w:val="single"/>
          <w:lang w:eastAsia="en-US"/>
        </w:rPr>
        <w:t>sierpnia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10:00</w:t>
      </w:r>
    </w:p>
    <w:p w14:paraId="565F7A10" w14:textId="7C851426" w:rsidR="00C728C5" w:rsidRPr="001F6044"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Otwarcie ofert nastąpi </w:t>
      </w:r>
      <w:r w:rsidR="001F6044" w:rsidRPr="001F6044">
        <w:rPr>
          <w:rFonts w:ascii="Calibri" w:hAnsi="Calibri" w:cs="Calibri"/>
          <w:color w:val="auto"/>
          <w:kern w:val="3"/>
          <w:u w:val="single"/>
          <w:lang w:eastAsia="en-US"/>
        </w:rPr>
        <w:t>10</w:t>
      </w:r>
      <w:r w:rsidR="006F613B" w:rsidRPr="001F6044">
        <w:rPr>
          <w:rFonts w:ascii="Calibri" w:hAnsi="Calibri" w:cs="Calibri"/>
          <w:color w:val="auto"/>
          <w:kern w:val="3"/>
          <w:u w:val="single"/>
          <w:lang w:eastAsia="en-US"/>
        </w:rPr>
        <w:t xml:space="preserve"> </w:t>
      </w:r>
      <w:r w:rsidR="001F6044" w:rsidRPr="001F6044">
        <w:rPr>
          <w:rFonts w:ascii="Calibri" w:hAnsi="Calibri" w:cs="Calibri"/>
          <w:color w:val="auto"/>
          <w:kern w:val="3"/>
          <w:u w:val="single"/>
          <w:lang w:eastAsia="en-US"/>
        </w:rPr>
        <w:t>sierpnia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10:30</w:t>
      </w:r>
    </w:p>
    <w:p w14:paraId="27DA9C2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otwarciu ofert zamawiający zamieści na stronie internetowej informacje dotyczące: </w:t>
      </w:r>
    </w:p>
    <w:p w14:paraId="08A4F33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nazwach albo imionach i nazwiskach oraz siedzibach lub miejscach prowadzonej działalności gospodarczej albo miejscach zamieszkania wykonawców, których oferty zostały otwarte;</w:t>
      </w:r>
    </w:p>
    <w:p w14:paraId="3B141CB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cenach lub kosztach zawartych w ofertach.</w:t>
      </w:r>
    </w:p>
    <w:p w14:paraId="0D9D6841" w14:textId="73D06B7A"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jest związany złożoną ofertą do </w:t>
      </w:r>
      <w:r w:rsidR="00C60237" w:rsidRPr="00C60237">
        <w:rPr>
          <w:rFonts w:ascii="Calibri" w:hAnsi="Calibri" w:cs="Calibri"/>
          <w:color w:val="auto"/>
          <w:kern w:val="3"/>
          <w:u w:val="single"/>
          <w:lang w:eastAsia="en-US"/>
        </w:rPr>
        <w:t>8</w:t>
      </w:r>
      <w:r w:rsidR="00A5123A" w:rsidRPr="00C60237">
        <w:rPr>
          <w:rFonts w:ascii="Calibri" w:hAnsi="Calibri" w:cs="Calibri"/>
          <w:color w:val="auto"/>
          <w:kern w:val="3"/>
          <w:u w:val="single"/>
          <w:lang w:eastAsia="en-US"/>
        </w:rPr>
        <w:t xml:space="preserve"> </w:t>
      </w:r>
      <w:r w:rsidR="00C60237" w:rsidRPr="00C60237">
        <w:rPr>
          <w:rFonts w:ascii="Calibri" w:hAnsi="Calibri" w:cs="Calibri"/>
          <w:color w:val="auto"/>
          <w:kern w:val="3"/>
          <w:u w:val="single"/>
          <w:lang w:eastAsia="en-US"/>
        </w:rPr>
        <w:t>września</w:t>
      </w:r>
      <w:r w:rsidRPr="00C60237">
        <w:rPr>
          <w:rFonts w:ascii="Calibri" w:hAnsi="Calibri" w:cs="Calibri"/>
          <w:color w:val="auto"/>
          <w:kern w:val="3"/>
          <w:u w:val="single"/>
          <w:lang w:eastAsia="en-US"/>
        </w:rPr>
        <w:t xml:space="preserve"> 2022 roku</w:t>
      </w:r>
      <w:r>
        <w:rPr>
          <w:rFonts w:ascii="Calibri" w:hAnsi="Calibri" w:cs="Calibri"/>
          <w:color w:val="auto"/>
          <w:kern w:val="3"/>
          <w:lang w:eastAsia="en-US"/>
        </w:rPr>
        <w:t>.</w:t>
      </w:r>
    </w:p>
    <w:p w14:paraId="6AB530B2" w14:textId="2B4749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w:t>
      </w:r>
    </w:p>
    <w:p w14:paraId="441A07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p w14:paraId="359F072E"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Kryteria oceny ofert</w:t>
      </w:r>
    </w:p>
    <w:p w14:paraId="30E33A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Wybór najkorzystniejszej oferty zostanie dokonany 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C728C5" w14:paraId="6B104DE7" w14:textId="77777777">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p w14:paraId="1841F22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lastRenderedPageBreak/>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14:paraId="34F36DC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14:paraId="79C73A30" w14:textId="77777777" w:rsidR="00C728C5" w:rsidRDefault="00190865">
            <w:pPr>
              <w:pStyle w:val="Standard"/>
              <w:spacing w:line="276" w:lineRule="auto"/>
              <w:ind w:left="403"/>
              <w:jc w:val="center"/>
              <w:rPr>
                <w:rFonts w:asciiTheme="minorHAnsi" w:eastAsia="Calibri" w:hAnsiTheme="minorHAnsi" w:cs="Calibri"/>
                <w:b/>
                <w:color w:val="auto"/>
                <w:lang w:val="pl-PL"/>
              </w:rPr>
            </w:pPr>
            <w:r>
              <w:rPr>
                <w:rFonts w:asciiTheme="minorHAnsi" w:eastAsia="Calibri" w:hAnsiTheme="minorHAnsi" w:cs="Calibri"/>
                <w:b/>
                <w:color w:val="auto"/>
                <w:lang w:val="pl-PL"/>
              </w:rPr>
              <w:t>Opis kryterium i sposobu przyznawania punktów</w:t>
            </w:r>
          </w:p>
        </w:tc>
      </w:tr>
      <w:tr w:rsidR="00C728C5" w14:paraId="3ADB8C1C" w14:textId="77777777">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6B898A88"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69467BD"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60%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565C798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 zgodnie z wzorem:</w:t>
            </w:r>
          </w:p>
          <w:p w14:paraId="34AF0EE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Najniższa oferowana cena spośród ofert niepodlegających odrzuceniu / cena oferowana w badanej ofercie 60 pkt</w:t>
            </w:r>
          </w:p>
        </w:tc>
      </w:tr>
      <w:tr w:rsidR="00C728C5" w14:paraId="6E58D016" w14:textId="77777777">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39ADFFF"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Okres gwarancji i rękojmi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378FFA9A"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40%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298DABEE"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w:t>
            </w:r>
          </w:p>
          <w:p w14:paraId="3B0995F7" w14:textId="4864A722"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który zaoferuje minimalny okres gwarancji i rękojmi wynoszący 24 miesi</w:t>
            </w:r>
            <w:r w:rsidR="00A46CE7">
              <w:rPr>
                <w:rFonts w:asciiTheme="minorHAnsi" w:eastAsia="Calibri" w:hAnsiTheme="minorHAnsi" w:cs="Calibri"/>
                <w:color w:val="auto"/>
                <w:lang w:val="pl-PL"/>
              </w:rPr>
              <w:t>ą</w:t>
            </w:r>
            <w:r>
              <w:rPr>
                <w:rFonts w:asciiTheme="minorHAnsi" w:eastAsia="Calibri" w:hAnsiTheme="minorHAnsi" w:cs="Calibri"/>
                <w:color w:val="auto"/>
                <w:lang w:val="pl-PL"/>
              </w:rPr>
              <w:t>ce uzyska 0 pkt w tym kryterium.</w:t>
            </w:r>
          </w:p>
          <w:p w14:paraId="79CAE9A9"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Każdy pełny miesiąc wydłużenia okresu gwarancji i rękojmi powyżej 24 miesięcy zwiększy ocenę w tym kryterium o 1 pkt.</w:t>
            </w:r>
          </w:p>
          <w:p w14:paraId="7872FCCA"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Wykonawca nie może otrzymać w tym kryterium więcej niż 40 pkt (maksymalna punktacja zostanie przyznana za okres gwarancji i rękojmi wynoszący 64 miesiące oraz dłuższy).</w:t>
            </w:r>
          </w:p>
        </w:tc>
      </w:tr>
    </w:tbl>
    <w:p w14:paraId="6033BBD3" w14:textId="77777777" w:rsidR="00C728C5" w:rsidRDefault="00C728C5">
      <w:pPr>
        <w:widowControl w:val="0"/>
        <w:autoSpaceDN w:val="0"/>
        <w:spacing w:after="57" w:line="276" w:lineRule="auto"/>
        <w:ind w:left="737"/>
        <w:jc w:val="both"/>
        <w:rPr>
          <w:rFonts w:ascii="Calibri" w:hAnsi="Calibri" w:cs="Calibri"/>
          <w:color w:val="auto"/>
          <w:kern w:val="3"/>
          <w:highlight w:val="lightGray"/>
          <w:lang w:eastAsia="en-US"/>
        </w:rPr>
      </w:pPr>
    </w:p>
    <w:p w14:paraId="3BB973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być wyrażona w polskich złotych, z dokładnością do dwóch miejsc po przecinku (groszy).</w:t>
      </w:r>
    </w:p>
    <w:p w14:paraId="549B89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uwzględniać wszystkie koszty i obciążenia związane z wykonywaniem zamówienia. Wykonawca winien uwzględnić między innymi:</w:t>
      </w:r>
    </w:p>
    <w:p w14:paraId="6DECAA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przygotowawczych,</w:t>
      </w:r>
    </w:p>
    <w:p w14:paraId="2B64125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porządkowych, w tym także koszty uporządkowania miejsca prac,</w:t>
      </w:r>
    </w:p>
    <w:p w14:paraId="391F771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właściwego oznakowania i zabezpieczenia prowadzonych robót,</w:t>
      </w:r>
    </w:p>
    <w:p w14:paraId="0728295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wszelkie odszkodowania za szkody, koszty oraz straty wynikłe w związku z prowadzonymi robotami, </w:t>
      </w:r>
    </w:p>
    <w:p w14:paraId="2AC59CE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 wykonania dokumentacji powykonawczej,</w:t>
      </w:r>
    </w:p>
    <w:p w14:paraId="7A205421"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oraz wszystkie inne koszty związane z uzyskaniem przez wykonawcę przychodu z tytułu wykonania niniejszego przedmiotu zamówienia.</w:t>
      </w:r>
    </w:p>
    <w:p w14:paraId="454861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została złożona oferta, której wybór prowadziłby do powstania u zamawiającego obowiązku podatkowego zgodnie z ustawą z dnia 11 marca 2004 r. o podatku od towarów i usług, dla celów zastosowania kryterium ceny zamawiający </w:t>
      </w:r>
      <w:r>
        <w:rPr>
          <w:rFonts w:ascii="Calibri" w:hAnsi="Calibri" w:cs="Calibri"/>
          <w:color w:val="auto"/>
          <w:kern w:val="3"/>
          <w:lang w:eastAsia="en-US"/>
        </w:rPr>
        <w:lastRenderedPageBreak/>
        <w:t>doliczy do przedstawionej w tej ofercie ceny kwotę podatku od towarów i usług, którą miałby obowiązek rozliczyć.</w:t>
      </w:r>
    </w:p>
    <w:p w14:paraId="04D1AB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opisanym w punkcie powyżej wykonawca ma obowiązek:</w:t>
      </w:r>
    </w:p>
    <w:p w14:paraId="7AA33C6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poinformowania zamawiającego w treści formularza oferty, że wybór jego oferty będzie prowadził do powstania u zamawiającego obowiązku podatkowego;</w:t>
      </w:r>
    </w:p>
    <w:p w14:paraId="6350C47C"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nazwy (rodzaju) towaru lub usługi, których dostawa lub świadczenie będą prowadziły do powstania obowiązku podatkowego;</w:t>
      </w:r>
    </w:p>
    <w:p w14:paraId="2C8EA2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wartości towaru lub usługi objętego obowiązkiem podatkowym zamawiającego, bez kwoty podatku;</w:t>
      </w:r>
    </w:p>
    <w:p w14:paraId="76EEF16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stawki podatku od towarów i usług, która zgodnie z wiedzą wykonawcy, będzie miała zastosowanie.</w:t>
      </w:r>
    </w:p>
    <w:p w14:paraId="47B0E53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Badanie i ocena ofert</w:t>
      </w:r>
    </w:p>
    <w:p w14:paraId="6855A01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14:paraId="37EB15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09941F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2852F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Odrzuceniu, jako oferta z rażąco niską ceną lub kosztem, podlega oferta wykonawcy, który nie udzielił wyjaśnień w wyznaczonym terminie, lub jeżeli złożone wyjaśnienia wraz z dowodami nie uzasadniają podanej w ofercie ceny lub kosztu.</w:t>
      </w:r>
    </w:p>
    <w:p w14:paraId="6A6BAD2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Zgodnie z art. 226 ust. 1 Ustawy zamawiający odrzuca ofertę, jeżeli:</w:t>
      </w:r>
    </w:p>
    <w:p w14:paraId="3FDF06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po terminie składania ofert;</w:t>
      </w:r>
    </w:p>
    <w:p w14:paraId="69FA68E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w:t>
      </w:r>
    </w:p>
    <w:p w14:paraId="4697C5CE"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podlegającego wykluczeniu z postępowania lub</w:t>
      </w:r>
    </w:p>
    <w:p w14:paraId="478C3FC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niespełniającego warunków udziału w postępowaniu, lub</w:t>
      </w:r>
    </w:p>
    <w:p w14:paraId="6A77D497"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który nie złożył w przewidzianym terminie oświadczenia, o którym mowa </w:t>
      </w:r>
      <w:r>
        <w:rPr>
          <w:rFonts w:ascii="Calibri" w:hAnsi="Calibri" w:cs="Calibri"/>
          <w:color w:val="auto"/>
          <w:kern w:val="3"/>
          <w:lang w:eastAsia="en-US"/>
        </w:rPr>
        <w:lastRenderedPageBreak/>
        <w:t>w art. 125 ust. 1 Ustawy, lub podmiotowego środka dowodowego, potwierdzających brak podstaw wykluczenia lub spełnianie warunków udziału w postępowaniu, przedmiotowego środka dowodowego, lub innych dokumentów lub oświadczeń;</w:t>
      </w:r>
    </w:p>
    <w:p w14:paraId="1223852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niezgodna z przepisami ustawy;</w:t>
      </w:r>
    </w:p>
    <w:p w14:paraId="77B7793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nieważna na podstawie odrębnych przepisów;</w:t>
      </w:r>
    </w:p>
    <w:p w14:paraId="54B2033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treść jest niezgodna z warunkami zamówienia;</w:t>
      </w:r>
    </w:p>
    <w:p w14:paraId="4C32B69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 została sporządzona lub przekazana w sposób zgodny z wymaganiami technicznymi oraz organizacyjnymi sporządzania lub przekazywania ofert przy użyciu środków komunikacji elektronicznej określonymi przez zamawiającego;</w:t>
      </w:r>
    </w:p>
    <w:p w14:paraId="5093959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w warunkach czynu nieuczciwej konkurencji w rozumieniu ustawy z dnia 16 kwietnia 1993 r. o zwalczaniu nieuczciwej konkurencji;</w:t>
      </w:r>
    </w:p>
    <w:p w14:paraId="48DFDBA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rażąco niską cenę lub koszt w stosunku do przedmiotu zamówienia;</w:t>
      </w:r>
    </w:p>
    <w:p w14:paraId="4EF9E5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 niezaproszonego do składania ofert;</w:t>
      </w:r>
    </w:p>
    <w:p w14:paraId="63D76EC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błędy w obliczeniu ceny lub kosztu;</w:t>
      </w:r>
    </w:p>
    <w:p w14:paraId="5AC117E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wyznaczonym terminie zakwestionował poprawienie omyłki, o której mowa w art. 223 ust. 2 pkt 3 Ustawy;</w:t>
      </w:r>
    </w:p>
    <w:p w14:paraId="3CBE52A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przedłużenie terminu związania ofertą;</w:t>
      </w:r>
    </w:p>
    <w:p w14:paraId="6C74CB4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wybór jego oferty po upływie terminu związania ofertą;</w:t>
      </w:r>
    </w:p>
    <w:p w14:paraId="57A7F02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14:paraId="60B52EB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wariantowa nie została złożona lub nie spełnia minimalnych wymagań określonych przez zamawiającego, w przypadku gdy zamawiający wymagał jej złożenia;</w:t>
      </w:r>
    </w:p>
    <w:p w14:paraId="21CEB3F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przyjęcie naruszałoby bezpieczeństwo publiczne lub istotny interes bezpieczeństwa państwa, a tego bezpieczeństwa lub interesu nie można zagwarantować w inny sposób;</w:t>
      </w:r>
    </w:p>
    <w:p w14:paraId="11DB0A7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obejmuje ona urządzenia informatyczne lub oprogramowanie wskazane w rekomendacji, o której mowa w art. 33 ust. 4 ustawy z dnia 5 lipca 2018 r. o krajowym systemie cyberbezpieczeństwa (Dz. U. z 2020 r. poz. 1369), stwierdzającej ich negatywny wpływ na bezpieczeństwo publiczne lub bezpieczeństwo narodowe;</w:t>
      </w:r>
    </w:p>
    <w:p w14:paraId="1B2E054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została złożona bez odbycia wizji lokalnej lub bez sprawdzenia dokumentów </w:t>
      </w:r>
      <w:r>
        <w:rPr>
          <w:rFonts w:ascii="Calibri" w:hAnsi="Calibri" w:cs="Calibri"/>
          <w:color w:val="auto"/>
          <w:kern w:val="3"/>
          <w:lang w:eastAsia="en-US"/>
        </w:rPr>
        <w:lastRenderedPageBreak/>
        <w:t>niezbędnych do realizacji zamówienia dostępnych na miejscu u zamawiającego, w przypadku gdy zamawiający tego wymagał w dokumentach zamówienia.</w:t>
      </w:r>
    </w:p>
    <w:p w14:paraId="4F8D1A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przewiduje możliwości prowadzenia negocjacji w celu ulepszenia treści ofert.</w:t>
      </w:r>
    </w:p>
    <w:p w14:paraId="7332490C" w14:textId="77777777" w:rsidR="00C728C5" w:rsidRDefault="00190865">
      <w:pPr>
        <w:widowControl w:val="0"/>
        <w:numPr>
          <w:ilvl w:val="0"/>
          <w:numId w:val="2"/>
        </w:numPr>
        <w:autoSpaceDN w:val="0"/>
        <w:spacing w:before="360" w:after="120" w:line="276" w:lineRule="auto"/>
        <w:ind w:left="511"/>
        <w:jc w:val="both"/>
        <w:rPr>
          <w:rFonts w:ascii="Calibri" w:hAnsi="Calibri" w:cs="Calibri"/>
          <w:color w:val="auto"/>
          <w:kern w:val="3"/>
          <w:lang w:eastAsia="en-US"/>
        </w:rPr>
      </w:pPr>
      <w:r>
        <w:rPr>
          <w:rFonts w:ascii="Calibri" w:hAnsi="Calibri" w:cs="Calibri"/>
          <w:b/>
          <w:color w:val="auto"/>
          <w:kern w:val="3"/>
          <w:lang w:eastAsia="en-US"/>
        </w:rPr>
        <w:t>Rozstrzygnięcie postępowania</w:t>
      </w:r>
    </w:p>
    <w:p w14:paraId="6B2958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dokona wyboru najkorzystniejszej oferty spośród niepodlegających odrzuceniu ofert złożonych w odpowiedzi na ogłoszenie o zamówieniu na podstawie sumy punktów uzyskanych w poszczególnych kryteriach oceny ofert określonych w SWZ.</w:t>
      </w:r>
    </w:p>
    <w:p w14:paraId="2C3906E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wybierze najkorzystniejszą ofertę w terminie związania ofertą.</w:t>
      </w:r>
    </w:p>
    <w:p w14:paraId="22CAA89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53B310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zawiadomi o swoim wyborze wykonawców jednocześnie zamieszczając informację o wyborze na swojej stronie internetowej.</w:t>
      </w:r>
    </w:p>
    <w:p w14:paraId="1782A4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poinformuje równocześnie wykonawców, którzy złożyli oferty, o:</w:t>
      </w:r>
    </w:p>
    <w:p w14:paraId="09DBF01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596A8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wykonawcach, których oferty zostały odrzucone</w:t>
      </w:r>
    </w:p>
    <w:p w14:paraId="0FBBD00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podając uzasadnienie faktyczne i prawne.</w:t>
      </w:r>
    </w:p>
    <w:p w14:paraId="33295E10"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Informacje, o których mowa w ppkt 1 zostaną niezwłocznie udostępnione na stronie internetowej prowadzonego postępowania.</w:t>
      </w:r>
    </w:p>
    <w:p w14:paraId="550A4F6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794CFC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Zamawiający unieważni postępowanie o udzielenie zamówienia w przypadku zajścia którejś z sytuacji opisanych w art. 255-256 Ustawy.</w:t>
      </w:r>
    </w:p>
    <w:p w14:paraId="72F2CE7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 zamówienia finansowany jest z dotacji inwestycyjnej Gminy Miasta Torunia, oraz ze środków RPKP Regionalnego Programu Operacyjnego Województwa Kujawsko-Pomorskiego na lata 2014-2020. RPKP.04.06.02 Wsparcie ochrony zasobów kultury w ramach Zintegrowanych Inwestycji Terytorialnych. Konkurs Nr RPKP.04.06.02-IZ.00-04-301/19. Tytuł projektu: „Nowoczesny Dwór Artusa – restauracja i modernizacja centrum kultury”. Zamawiający może unieważnić postępowanie o udzielenie zamówienia, jeżeli środki publiczne, które zamawiający zamierzał przeznaczyć na sfinansowanie części zamówienia, nie zostały mu przyznane.</w:t>
      </w:r>
    </w:p>
    <w:p w14:paraId="67E7A3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14:paraId="3C7DA08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Zawarcie umowy</w:t>
      </w:r>
    </w:p>
    <w:p w14:paraId="3A83F54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zawrze umowę z wykonawcą, którego oferta została wybrana jako najkorzystniejsza.</w:t>
      </w:r>
    </w:p>
    <w:p w14:paraId="7365219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zawarcia umowy w sprawie zamówienia publicznego, wykonawca, którego ofertę wybrano jako najkorzystniejszą, złoży przed podpisaniem umowy:</w:t>
      </w:r>
    </w:p>
    <w:p w14:paraId="09C5BF2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dokumenty wykazujące umocowanie osoby podpisującej umowę do jej zawarcia, jeżeli umowę podpisuje przedstawiciel wykonawcy, a umocowanie nie wynika ze złożonych wcześniej dokumentów,</w:t>
      </w:r>
    </w:p>
    <w:p w14:paraId="0242D7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zabezpieczenie należytego wykonania umowy zgodnie z zapisami rozdziału XXII,</w:t>
      </w:r>
    </w:p>
    <w:p w14:paraId="596028E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14:paraId="590EFEA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Zabezpieczenie należytego wykonania umowy</w:t>
      </w:r>
    </w:p>
    <w:p w14:paraId="2F4CA6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wniesienia przez wykonawcę przed podpisaniem umowy zabezpieczenia należytego wykonania umowy w wysokości 5 % wynagrodzenia brutto. Zabezpieczenie służy pokryciu roszczeń z tytułu niewykonania lub nienależytego wykonania umowy.</w:t>
      </w:r>
    </w:p>
    <w:p w14:paraId="2A903E8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Wnosząc zabezpieczenie w pieniądzu należy dokonać przelewu na rachunek bankowy zamawiającego nr 98 1160 2202 0000 0000 6090 0878. </w:t>
      </w:r>
    </w:p>
    <w:p w14:paraId="7ABB98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wniesienia zabezpieczenia w formie gwarancji lub poręczenia, zgodnie z art. 450 ust. 1 pkt 2 - 5 Ustawy, z dokumentu wadialnego musi wynikać </w:t>
      </w:r>
      <w:r>
        <w:rPr>
          <w:rFonts w:ascii="Calibri" w:hAnsi="Calibri" w:cs="Calibri"/>
          <w:color w:val="auto"/>
          <w:kern w:val="3"/>
          <w:lang w:eastAsia="en-US"/>
        </w:rPr>
        <w:lastRenderedPageBreak/>
        <w:t>bezwarunkowe, nieodwołalne zobowiązanie gwaranta/poręczyciela do zapłaty na rzecz zamawiającego kwoty do wysokości wymaganego zabezpieczenia na pierwsze pisemne żądanie zamawiającego.</w:t>
      </w:r>
    </w:p>
    <w:p w14:paraId="09DB65A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konieczności przedłużenia terminu wykonania umowy wykonawca zobowiązany jest przed podpisaniem aneksu do przedłużenia terminu zabezpieczenia wniesionego w formie gwarancji lub poręczenia, o których mowa w art. 450 ust. 1 pkt 2 - 5 Ustawy albo, jeżeli nie będzie to możliwe, do wniesienia nowego zabezpieczenia na przedłużony termin wykonania umowy.</w:t>
      </w:r>
    </w:p>
    <w:p w14:paraId="40D799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zwróci 70% kwoty zabezpieczenia w terminie 30 dni od dnia wykonania umowy i uznania przez zamawiającego za należycie wykonaną. Zamawiający zatrzyma 30% kwoty zabezpieczenia jako zabezpieczenie roszczeń z tytułu rękojmi za wady i gwarancji – zostanie ono zwrócone nie później niż w 15. dniu po upływie okresu rękojmi za wady i gwarancji.</w:t>
      </w:r>
    </w:p>
    <w:p w14:paraId="2A2C6BE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Klauzula informacyjna RODO</w:t>
      </w:r>
    </w:p>
    <w:p w14:paraId="05357224" w14:textId="77777777" w:rsidR="00C728C5" w:rsidRDefault="00190865">
      <w:pPr>
        <w:widowControl w:val="0"/>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687909"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administratorem Pani/Pana danych osobowych jest Łukasz Wudarski – Zarządca Centrum Kultury Dwór Artusa;</w:t>
      </w:r>
    </w:p>
    <w:p w14:paraId="38F843AF"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inspektorem ochrony danych osobowych w Centrum Kultury Dwór Artusa jest Marcin Sobczak tel. (56) 655 49 39 wew. 29, e-mail: marcin.sobczak@artus.torun.pl;</w:t>
      </w:r>
    </w:p>
    <w:p w14:paraId="27495C54"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przetwarzane będą na podstawie art. 6 ust. 1 lit. c RODO w celu związanym z niniejszym postępowaniem o udzielenie zamówienia publicznego;</w:t>
      </w:r>
    </w:p>
    <w:p w14:paraId="4467CE7E"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odbiorcami Pani/Pana danych osobowych będą osoby lub podmioty, którym udostępniona zostanie dokumentacja postępowania w oparciu o art. 18 oraz art. 74 ust. 3 Ustawy;  </w:t>
      </w:r>
    </w:p>
    <w:p w14:paraId="5D6998A7"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będą przechowywane, zgodnie z art. 78 ust. 1 oraz 4 Ustawy, przez okres 4 lat od dnia zakończenia postępowania o udzielenie zamówienia, a jeżeli okres obowiązywania umowy w sprawie zamówienia publicznego przekracza 4 lata, przez cały okres obowiązywania umowy w sprawie zamówienia publicznego;</w:t>
      </w:r>
    </w:p>
    <w:p w14:paraId="3712398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136ABD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w odniesieniu do Pani/Pana danych osobowych decyzje nie będą podejmowane </w:t>
      </w:r>
      <w:r>
        <w:rPr>
          <w:rFonts w:cs="Calibri"/>
          <w:color w:val="auto"/>
          <w:kern w:val="3"/>
          <w:sz w:val="24"/>
          <w:szCs w:val="24"/>
        </w:rPr>
        <w:lastRenderedPageBreak/>
        <w:t>w sposób zautomatyzowany, stosownie do art. 22 RODO;</w:t>
      </w:r>
    </w:p>
    <w:p w14:paraId="396C2EBA"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posiada Pani/Pan:</w:t>
      </w:r>
    </w:p>
    <w:p w14:paraId="06496F90"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15 RODO prawo dostępu do danych osobowych Pani/Pana dotyczących;</w:t>
      </w:r>
    </w:p>
    <w:p w14:paraId="4A49A08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05A15F1A"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CA110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wniesienia skargi do Prezesa Urzędu Ochrony Danych Osobowych, gdy uzna Pani/Pan, że przetwarzanie danych osobowych Pani/Pana dotyczących narusza przepisy RODO;</w:t>
      </w:r>
    </w:p>
    <w:p w14:paraId="54FD3128"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nie przysługuje Pani/Panu:</w:t>
      </w:r>
    </w:p>
    <w:p w14:paraId="1053BB07"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w związku z art. 17 ust. 3 lit. b, d lub e RODO prawo do usunięcia danych osobowych;</w:t>
      </w:r>
    </w:p>
    <w:p w14:paraId="773AB9C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przenoszenia danych osobowych, o którym mowa w art. 20 RODO;</w:t>
      </w:r>
    </w:p>
    <w:p w14:paraId="22F711D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21 RODO prawo sprzeciwu, wobec przetwarzania danych osobowych, gdyż podstawą prawną przetwarzania Pani/Pana danych osobowych jest art. 6 ust. 1 lit. c RODO. </w:t>
      </w:r>
    </w:p>
    <w:p w14:paraId="7B7539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5B206B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postępowaniu o udzielenie zamówienia zgłoszenie żądania ograniczenia przetwarzania, o którym mowa w art. 18 ust. 1 RODO, nie ogranicza przetwarzania danych osobowych do czasu zakończenia tego postępowania.</w:t>
      </w:r>
    </w:p>
    <w:p w14:paraId="05CE2DD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 xml:space="preserve">Pouczenie o środkach ochrony prawnej </w:t>
      </w:r>
    </w:p>
    <w:p w14:paraId="51C1AB4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Środki ochrony prawnej przysługują wykonawcy oraz innemu podmiotowi, jeżeli ma lub miał interes w uzyskaniu zamówienia oraz poniósł lub może ponieść szkodę w wyniku naruszenia przez zamawiającego przepisów Ustawy. Środki ochrony </w:t>
      </w:r>
      <w:r>
        <w:rPr>
          <w:rFonts w:ascii="Calibri" w:hAnsi="Calibri" w:cs="Calibri"/>
          <w:color w:val="auto"/>
          <w:kern w:val="3"/>
          <w:lang w:eastAsia="en-US"/>
        </w:rPr>
        <w:lastRenderedPageBreak/>
        <w:t>prawnej wobec ogłoszenia wszczynającego postępowanie o udzielenie zamówienia oraz dokumentów zamówienia przysługują również organizacjom wpisanym na listę, o której mowa w</w:t>
      </w:r>
      <w:bookmarkStart w:id="12" w:name="target_link_mfrxilrtgi2tqobzg42tgltqmfyc"/>
      <w:bookmarkEnd w:id="12"/>
      <w:r>
        <w:rPr>
          <w:rFonts w:ascii="Calibri" w:hAnsi="Calibri" w:cs="Calibri"/>
          <w:color w:val="auto"/>
          <w:kern w:val="3"/>
          <w:lang w:eastAsia="en-US"/>
        </w:rPr>
        <w:t> art. 469 pkt 15 Ustawy, oraz Rzecznikowi Małych i Średnich Przedsiębiorców.</w:t>
      </w:r>
    </w:p>
    <w:p w14:paraId="0DD5C88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przysługuje na:</w:t>
      </w:r>
    </w:p>
    <w:p w14:paraId="5D797EF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niezgodną z przepisami ustawy czynność zamawiającego, podjętą w postępowaniu o udzielenie zamówienia, w tym na projektowane postanowienie umowy;</w:t>
      </w:r>
    </w:p>
    <w:p w14:paraId="190880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zaniechanie czynności w postępowaniu o udzielenie zamówienia, do której zamawiający był obowiązany na podstawie ustawy.</w:t>
      </w:r>
    </w:p>
    <w:p w14:paraId="7636A6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do Prezesa Krajowej Izby Odwoławczej.</w:t>
      </w:r>
    </w:p>
    <w:p w14:paraId="29942F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F5DE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w terminie 5 dni od dnia przekazania informacji o czynności zamawiającego stanowiącej podstawę jego wniesienia – jeżeli informacja została przekazana przy użyciu środków komunikacji elektronicznej – albo w terminie 10 dni –  jeżeli informacja została przekazana w inny sposób.</w:t>
      </w:r>
    </w:p>
    <w:p w14:paraId="576ABE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0AB4D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14:paraId="76C8A9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Szczegółowe zasady dotyczące środków ochrony prawnej zawiera dział IX Ustawy. </w:t>
      </w:r>
    </w:p>
    <w:p w14:paraId="2DA13CDB" w14:textId="0F2FDF21" w:rsidR="00A8324B" w:rsidRDefault="00190865" w:rsidP="00A8324B">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4A08DC">
        <w:rPr>
          <w:rFonts w:ascii="Calibri" w:hAnsi="Calibri" w:cs="Calibri"/>
          <w:b/>
          <w:color w:val="auto"/>
          <w:kern w:val="3"/>
          <w:lang w:eastAsia="en-US"/>
        </w:rPr>
        <w:t>Wykaz załączników do SWZ</w:t>
      </w:r>
    </w:p>
    <w:p w14:paraId="2C80B480" w14:textId="2D3EF1A3" w:rsidR="00C728C5"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bCs/>
          <w:color w:val="auto"/>
          <w:kern w:val="3"/>
          <w:sz w:val="24"/>
          <w:szCs w:val="24"/>
        </w:rPr>
        <w:t xml:space="preserve">Załącznik nr 1.1.1 - </w:t>
      </w:r>
      <w:r w:rsidRPr="00A8324B">
        <w:rPr>
          <w:rFonts w:asciiTheme="minorHAnsi" w:hAnsiTheme="minorHAnsi" w:cs="Calibri"/>
          <w:color w:val="auto"/>
          <w:kern w:val="3"/>
          <w:sz w:val="24"/>
          <w:szCs w:val="24"/>
        </w:rPr>
        <w:t>Opinia techniczna w zakresie oceny stanu technicznego posadzki drewnianej znajdującej się w Galerii na I piętrze Centrum Kultury „Dwór Artusa” w Toruniu</w:t>
      </w:r>
    </w:p>
    <w:p w14:paraId="62C8B75B" w14:textId="2A2540E3"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1.1.2 - Specyfikacja Techniczna Wykonania i Odbioru Robót</w:t>
      </w:r>
    </w:p>
    <w:p w14:paraId="7236FD2F" w14:textId="0FAC453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lastRenderedPageBreak/>
        <w:t>Załącznik nr 1.1.3 - Przedmiar robót prac wymiany parkietu Dworu Artusa</w:t>
      </w:r>
    </w:p>
    <w:p w14:paraId="094C6742" w14:textId="7777777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1.1.4 - Rzut piętra – powierzchnia prac</w:t>
      </w:r>
    </w:p>
    <w:p w14:paraId="7DACAFDA" w14:textId="77777777"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1.2.1 - Wizualizacja aranżacji szatni i malowania pomieszczeń Galerii - Zip składający się z 13 plików</w:t>
      </w:r>
    </w:p>
    <w:p w14:paraId="194C07B0" w14:textId="0C677AAC"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1.2.2 - Projekt Techniczny Galerii – Zip składający się z 16 plików</w:t>
      </w:r>
    </w:p>
    <w:p w14:paraId="6842E283" w14:textId="670A02BA"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1.2.3 - Kosztorys ślepy – malowanie</w:t>
      </w:r>
    </w:p>
    <w:p w14:paraId="3C24CA9B" w14:textId="0F95296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Załącznik nr 1.2.4 - Rzut piętra – powierzchnia prac</w:t>
      </w:r>
    </w:p>
    <w:p w14:paraId="68634DC1" w14:textId="173C569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sz w:val="24"/>
          <w:szCs w:val="24"/>
        </w:rPr>
        <w:t>Załącznik nr 1.3.1 - Wykaz materiałów oświetleniowych do instalacji sufitowej</w:t>
      </w:r>
    </w:p>
    <w:p w14:paraId="1800AC2F" w14:textId="72A57D1F" w:rsidR="00A8324B" w:rsidRPr="00A8324B" w:rsidRDefault="00A8324B"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 xml:space="preserve">Załącznik </w:t>
      </w:r>
      <w:r w:rsidR="002737EA">
        <w:rPr>
          <w:rFonts w:asciiTheme="minorHAnsi" w:hAnsiTheme="minorHAnsi" w:cs="Calibri"/>
          <w:color w:val="auto"/>
          <w:kern w:val="3"/>
          <w:sz w:val="24"/>
          <w:szCs w:val="24"/>
        </w:rPr>
        <w:t xml:space="preserve">nr </w:t>
      </w:r>
      <w:r w:rsidRPr="00A8324B">
        <w:rPr>
          <w:rFonts w:asciiTheme="minorHAnsi" w:hAnsiTheme="minorHAnsi" w:cs="Calibri"/>
          <w:color w:val="auto"/>
          <w:kern w:val="3"/>
          <w:sz w:val="24"/>
          <w:szCs w:val="24"/>
        </w:rPr>
        <w:t>1.4</w:t>
      </w:r>
      <w:r w:rsidR="002737EA">
        <w:rPr>
          <w:rFonts w:asciiTheme="minorHAnsi" w:hAnsiTheme="minorHAnsi" w:cs="Calibri"/>
          <w:color w:val="auto"/>
          <w:kern w:val="3"/>
          <w:sz w:val="24"/>
          <w:szCs w:val="24"/>
        </w:rPr>
        <w:t>.1</w:t>
      </w:r>
      <w:r w:rsidRPr="00A8324B">
        <w:rPr>
          <w:rFonts w:asciiTheme="minorHAnsi" w:hAnsiTheme="minorHAnsi" w:cs="Calibri"/>
          <w:color w:val="auto"/>
          <w:kern w:val="3"/>
          <w:sz w:val="24"/>
          <w:szCs w:val="24"/>
        </w:rPr>
        <w:t xml:space="preserve"> - </w:t>
      </w:r>
      <w:r w:rsidR="00852976">
        <w:rPr>
          <w:rFonts w:asciiTheme="minorHAnsi" w:hAnsiTheme="minorHAnsi" w:cs="Calibri"/>
          <w:color w:val="auto"/>
          <w:kern w:val="3"/>
          <w:sz w:val="24"/>
          <w:szCs w:val="24"/>
        </w:rPr>
        <w:t>D</w:t>
      </w:r>
      <w:r w:rsidRPr="00A8324B">
        <w:rPr>
          <w:rFonts w:asciiTheme="minorHAnsi" w:hAnsiTheme="minorHAnsi" w:cs="Calibri"/>
          <w:color w:val="auto"/>
          <w:kern w:val="3"/>
          <w:sz w:val="24"/>
          <w:szCs w:val="24"/>
        </w:rPr>
        <w:t>ecyzj</w:t>
      </w:r>
      <w:r w:rsidR="00852976">
        <w:rPr>
          <w:rFonts w:asciiTheme="minorHAnsi" w:hAnsiTheme="minorHAnsi" w:cs="Calibri"/>
          <w:color w:val="auto"/>
          <w:kern w:val="3"/>
          <w:sz w:val="24"/>
          <w:szCs w:val="24"/>
        </w:rPr>
        <w:t>a</w:t>
      </w:r>
      <w:r w:rsidRPr="00A8324B">
        <w:rPr>
          <w:rFonts w:asciiTheme="minorHAnsi" w:hAnsiTheme="minorHAnsi" w:cs="Calibri"/>
          <w:color w:val="auto"/>
          <w:kern w:val="3"/>
          <w:sz w:val="24"/>
          <w:szCs w:val="24"/>
        </w:rPr>
        <w:t xml:space="preserve"> Miejskiego Konserwatora Zabytków na prowadzenie prac przy zabytku nr BMKZ.4125.2.40.2020.AWK z dnia 26.06.2020</w:t>
      </w:r>
    </w:p>
    <w:p w14:paraId="7E976B95"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2 – wzór umowy</w:t>
      </w:r>
    </w:p>
    <w:p w14:paraId="6CAA1D37"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3 – formularz oferty</w:t>
      </w:r>
      <w:bookmarkStart w:id="13" w:name="_Hlk108004407"/>
    </w:p>
    <w:p w14:paraId="2BCD6A56"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4 – oświadczenie o niepodleganiu wykluczeniu oraz spełnianiu warunków udziału w postępowaniu</w:t>
      </w:r>
    </w:p>
    <w:p w14:paraId="57FF922D" w14:textId="77777777" w:rsidR="00A8324B"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5 – oświadczenie podmiotu udostępniającego zasoby o niepodleganiu wykluczeniu oraz spełnianiu warunków udziału w postępowaniu</w:t>
      </w:r>
    </w:p>
    <w:p w14:paraId="712770C0" w14:textId="14172BFF" w:rsidR="00C728C5" w:rsidRPr="00A8324B" w:rsidRDefault="00463A5C" w:rsidP="00A8324B">
      <w:pPr>
        <w:pStyle w:val="Akapitzlist"/>
        <w:widowControl w:val="0"/>
        <w:numPr>
          <w:ilvl w:val="0"/>
          <w:numId w:val="50"/>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6 – wykaz robót budowlanych</w:t>
      </w:r>
      <w:bookmarkEnd w:id="13"/>
    </w:p>
    <w:p w14:paraId="71C5684A" w14:textId="79486133" w:rsidR="00A8324B" w:rsidRDefault="00A8324B">
      <w:pPr>
        <w:widowControl w:val="0"/>
        <w:autoSpaceDN w:val="0"/>
        <w:spacing w:after="57" w:line="276" w:lineRule="auto"/>
        <w:ind w:left="283"/>
        <w:jc w:val="both"/>
        <w:rPr>
          <w:rFonts w:ascii="Calibri" w:hAnsi="Calibri" w:cs="Calibri"/>
          <w:color w:val="auto"/>
          <w:kern w:val="3"/>
          <w:lang w:eastAsia="en-US"/>
        </w:rPr>
      </w:pPr>
    </w:p>
    <w:p w14:paraId="08DF26CA" w14:textId="57F3945E" w:rsidR="00FD79CC" w:rsidRPr="00FD79CC" w:rsidRDefault="00FD79CC" w:rsidP="00FD79CC">
      <w:pPr>
        <w:pStyle w:val="Default"/>
        <w:spacing w:line="360" w:lineRule="auto"/>
        <w:ind w:left="708" w:firstLine="708"/>
        <w:jc w:val="both"/>
        <w:rPr>
          <w:rFonts w:asciiTheme="minorHAnsi" w:hAnsiTheme="minorHAnsi" w:cs="Times New Roman"/>
          <w:i/>
          <w:iCs/>
        </w:rPr>
      </w:pPr>
      <w:r w:rsidRPr="00FD79CC">
        <w:rPr>
          <w:rFonts w:asciiTheme="minorHAnsi" w:hAnsiTheme="minorHAnsi" w:cs="Times New Roman"/>
          <w:i/>
          <w:iCs/>
        </w:rPr>
        <w:t>OPRACOWAŁ:</w:t>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Pr>
          <w:rFonts w:asciiTheme="minorHAnsi" w:hAnsiTheme="minorHAnsi" w:cs="Times New Roman"/>
          <w:i/>
          <w:iCs/>
        </w:rPr>
        <w:tab/>
      </w:r>
      <w:r w:rsidRPr="00FD79CC">
        <w:rPr>
          <w:rFonts w:asciiTheme="minorHAnsi" w:hAnsiTheme="minorHAnsi" w:cs="Times New Roman"/>
          <w:i/>
          <w:iCs/>
        </w:rPr>
        <w:t>ZATWIERDZIŁ:</w:t>
      </w:r>
    </w:p>
    <w:p w14:paraId="73DFCEDF" w14:textId="6A25ABD4" w:rsidR="00FD79CC" w:rsidRPr="00FD79CC" w:rsidRDefault="00FD79CC" w:rsidP="00FD79CC">
      <w:pPr>
        <w:spacing w:line="360" w:lineRule="auto"/>
        <w:ind w:left="708"/>
        <w:rPr>
          <w:rFonts w:asciiTheme="minorHAnsi" w:hAnsiTheme="minorHAnsi"/>
        </w:rPr>
      </w:pPr>
      <w:r w:rsidRPr="00FD79CC">
        <w:rPr>
          <w:rFonts w:asciiTheme="minorHAnsi" w:hAnsiTheme="minorHAnsi"/>
        </w:rPr>
        <w:t xml:space="preserve">        Specjalista ds. projektów</w:t>
      </w:r>
      <w:r w:rsidRPr="00FD79CC">
        <w:rPr>
          <w:rFonts w:asciiTheme="minorHAnsi" w:hAnsiTheme="minorHAnsi"/>
        </w:rPr>
        <w:tab/>
      </w:r>
      <w:r w:rsidRPr="00FD79CC">
        <w:rPr>
          <w:rFonts w:asciiTheme="minorHAnsi" w:hAnsiTheme="minorHAnsi"/>
        </w:rPr>
        <w:tab/>
        <w:t>Zarządca Centrum Kultury Dwór Artusa</w:t>
      </w:r>
    </w:p>
    <w:p w14:paraId="6C1049C1" w14:textId="77777777" w:rsidR="00FD79CC" w:rsidRPr="00FD79CC" w:rsidRDefault="00FD79CC" w:rsidP="00FD79CC">
      <w:pPr>
        <w:spacing w:line="360" w:lineRule="auto"/>
        <w:ind w:left="708" w:firstLine="708"/>
        <w:rPr>
          <w:rFonts w:asciiTheme="minorHAnsi" w:hAnsiTheme="minorHAnsi"/>
        </w:rPr>
      </w:pPr>
      <w:r w:rsidRPr="00FD79CC">
        <w:rPr>
          <w:rFonts w:asciiTheme="minorHAnsi" w:hAnsiTheme="minorHAnsi"/>
        </w:rPr>
        <w:t>Marcin Sobczak</w:t>
      </w:r>
      <w:r w:rsidRPr="00FD79CC">
        <w:rPr>
          <w:rFonts w:asciiTheme="minorHAnsi" w:hAnsiTheme="minorHAnsi"/>
        </w:rPr>
        <w:tab/>
      </w:r>
      <w:r w:rsidRPr="00FD79CC">
        <w:rPr>
          <w:rFonts w:asciiTheme="minorHAnsi" w:hAnsiTheme="minorHAnsi"/>
        </w:rPr>
        <w:tab/>
      </w:r>
      <w:r w:rsidRPr="00FD79CC">
        <w:rPr>
          <w:rFonts w:asciiTheme="minorHAnsi" w:hAnsiTheme="minorHAnsi"/>
        </w:rPr>
        <w:tab/>
      </w:r>
      <w:r w:rsidRPr="00FD79CC">
        <w:rPr>
          <w:rFonts w:asciiTheme="minorHAnsi" w:hAnsiTheme="minorHAnsi"/>
        </w:rPr>
        <w:tab/>
        <w:t>Łukasz Wudarski</w:t>
      </w:r>
    </w:p>
    <w:p w14:paraId="47EA5DFC" w14:textId="77777777" w:rsidR="00FD79CC" w:rsidRPr="00FD79CC" w:rsidRDefault="00FD79CC" w:rsidP="00FD79CC">
      <w:pPr>
        <w:rPr>
          <w:rFonts w:asciiTheme="minorHAnsi" w:hAnsiTheme="minorHAnsi"/>
        </w:rPr>
      </w:pPr>
    </w:p>
    <w:p w14:paraId="68C5D73D" w14:textId="77777777" w:rsidR="00FD79CC" w:rsidRDefault="00FD79CC">
      <w:pPr>
        <w:widowControl w:val="0"/>
        <w:autoSpaceDN w:val="0"/>
        <w:spacing w:after="57" w:line="276" w:lineRule="auto"/>
        <w:ind w:left="283"/>
        <w:jc w:val="both"/>
        <w:rPr>
          <w:rFonts w:ascii="Calibri" w:hAnsi="Calibri" w:cs="Calibri"/>
          <w:color w:val="auto"/>
          <w:kern w:val="3"/>
          <w:lang w:eastAsia="en-US"/>
        </w:rPr>
      </w:pPr>
    </w:p>
    <w:p w14:paraId="2EEA4D5C" w14:textId="77777777" w:rsidR="00A8324B" w:rsidRDefault="00A8324B">
      <w:pPr>
        <w:widowControl w:val="0"/>
        <w:autoSpaceDN w:val="0"/>
        <w:spacing w:after="57" w:line="276" w:lineRule="auto"/>
        <w:ind w:left="283"/>
        <w:jc w:val="both"/>
        <w:rPr>
          <w:rFonts w:ascii="Calibri" w:hAnsi="Calibri" w:cs="Calibri"/>
          <w:color w:val="auto"/>
          <w:kern w:val="3"/>
          <w:lang w:eastAsia="en-US"/>
        </w:rPr>
      </w:pPr>
    </w:p>
    <w:sectPr w:rsidR="00A8324B">
      <w:headerReference w:type="default" r:id="rId10"/>
      <w:footerReference w:type="default" r:id="rId11"/>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1BCF" w14:textId="77777777" w:rsidR="00E42AA1" w:rsidRDefault="00E42AA1">
      <w:pPr>
        <w:spacing w:line="240" w:lineRule="auto"/>
      </w:pPr>
      <w:r>
        <w:separator/>
      </w:r>
    </w:p>
  </w:endnote>
  <w:endnote w:type="continuationSeparator" w:id="0">
    <w:p w14:paraId="4838FA51" w14:textId="77777777" w:rsidR="00E42AA1" w:rsidRDefault="00E42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53D3" w14:textId="77777777" w:rsidR="00C728C5" w:rsidRDefault="00C728C5">
    <w:pPr>
      <w:pStyle w:val="Stopka"/>
      <w:jc w:val="center"/>
      <w:rPr>
        <w:rFonts w:ascii="Calibri" w:hAnsi="Calibri"/>
        <w:sz w:val="20"/>
        <w:szCs w:val="20"/>
      </w:rPr>
    </w:pPr>
  </w:p>
  <w:p w14:paraId="275F760F" w14:textId="246B9607" w:rsidR="00C728C5" w:rsidRDefault="00190865">
    <w:pPr>
      <w:pStyle w:val="Gwka"/>
      <w:tabs>
        <w:tab w:val="left" w:pos="3984"/>
        <w:tab w:val="right" w:pos="9637"/>
      </w:tabs>
      <w:jc w:val="right"/>
      <w:rPr>
        <w:rFonts w:ascii="Calibri" w:hAnsi="Calibri" w:cs="Calibri"/>
        <w:color w:val="auto"/>
        <w:sz w:val="20"/>
      </w:rPr>
    </w:pPr>
    <w:bookmarkStart w:id="14" w:name="_Hlk5956642"/>
    <w:bookmarkStart w:id="15" w:name="_Hlk5956643"/>
    <w:bookmarkStart w:id="16" w:name="_Hlk5956649"/>
    <w:bookmarkStart w:id="17" w:name="_Hlk5956650"/>
    <w:bookmarkStart w:id="18" w:name="_Hlk5956651"/>
    <w:bookmarkStart w:id="19" w:name="_Hlk5956652"/>
    <w:r w:rsidRPr="00C90F24">
      <w:rPr>
        <w:rFonts w:ascii="Calibri" w:hAnsi="Calibri" w:cs="Calibri"/>
        <w:color w:val="auto"/>
        <w:sz w:val="20"/>
      </w:rPr>
      <w:t xml:space="preserve">SWZ </w:t>
    </w:r>
    <w:r w:rsidR="00C90F24" w:rsidRPr="00C90F24">
      <w:rPr>
        <w:rFonts w:ascii="Calibri" w:hAnsi="Calibri" w:cs="Calibri"/>
        <w:color w:val="auto"/>
        <w:sz w:val="20"/>
        <w:szCs w:val="20"/>
      </w:rPr>
      <w:t>(</w:t>
    </w:r>
    <w:r w:rsidR="00C90F24" w:rsidRPr="00C90F24">
      <w:rPr>
        <w:rFonts w:ascii="Calibri" w:hAnsi="Calibri" w:cs="Calibri"/>
        <w:bCs/>
        <w:color w:val="auto"/>
        <w:sz w:val="20"/>
        <w:szCs w:val="20"/>
      </w:rPr>
      <w:t>DA/PZP/7/2022</w:t>
    </w:r>
    <w:r w:rsidRPr="00C90F24">
      <w:rPr>
        <w:rFonts w:ascii="Calibri" w:hAnsi="Calibri" w:cs="Calibri"/>
        <w:color w:val="auto"/>
        <w:sz w:val="20"/>
        <w:szCs w:val="20"/>
      </w:rPr>
      <w:t>)</w:t>
    </w:r>
    <w:bookmarkEnd w:id="14"/>
    <w:bookmarkEnd w:id="15"/>
    <w:bookmarkEnd w:id="16"/>
    <w:bookmarkEnd w:id="17"/>
    <w:bookmarkEnd w:id="18"/>
    <w:bookmarkEnd w:id="19"/>
  </w:p>
  <w:p w14:paraId="1440DDF7" w14:textId="77777777" w:rsidR="00C728C5" w:rsidRDefault="00190865">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A5D63" w14:textId="77777777" w:rsidR="00E42AA1" w:rsidRDefault="00E42AA1">
      <w:pPr>
        <w:spacing w:line="240" w:lineRule="auto"/>
      </w:pPr>
      <w:r>
        <w:separator/>
      </w:r>
    </w:p>
  </w:footnote>
  <w:footnote w:type="continuationSeparator" w:id="0">
    <w:p w14:paraId="22104EA9" w14:textId="77777777" w:rsidR="00E42AA1" w:rsidRDefault="00E42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840" w14:textId="77777777" w:rsidR="00C728C5" w:rsidRDefault="00190865">
    <w:pPr>
      <w:pStyle w:val="Nagwek"/>
    </w:pPr>
    <w:r>
      <w:rPr>
        <w:noProof/>
      </w:rPr>
      <w:drawing>
        <wp:anchor distT="0" distB="0" distL="114300" distR="114300" simplePos="0" relativeHeight="251661312" behindDoc="0" locked="0" layoutInCell="1" allowOverlap="1" wp14:anchorId="6BDFFB82" wp14:editId="0AC09D65">
          <wp:simplePos x="0" y="0"/>
          <wp:positionH relativeFrom="column">
            <wp:posOffset>0</wp:posOffset>
          </wp:positionH>
          <wp:positionV relativeFrom="paragraph">
            <wp:posOffset>-212344</wp:posOffset>
          </wp:positionV>
          <wp:extent cx="5760720" cy="81978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p w14:paraId="094BE591" w14:textId="77777777" w:rsidR="00C728C5" w:rsidRDefault="00C728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9962" w14:textId="77777777" w:rsidR="00C728C5" w:rsidRDefault="00190865">
    <w:pPr>
      <w:pStyle w:val="Nagwek"/>
      <w:jc w:val="center"/>
    </w:pPr>
    <w:r>
      <w:rPr>
        <w:noProof/>
      </w:rPr>
      <w:drawing>
        <wp:anchor distT="0" distB="0" distL="114300" distR="114300" simplePos="0" relativeHeight="251658240" behindDoc="0" locked="0" layoutInCell="1" allowOverlap="1" wp14:anchorId="1A62E637" wp14:editId="5F267A22">
          <wp:simplePos x="0" y="0"/>
          <wp:positionH relativeFrom="column">
            <wp:posOffset>0</wp:posOffset>
          </wp:positionH>
          <wp:positionV relativeFrom="paragraph">
            <wp:posOffset>-169012</wp:posOffset>
          </wp:positionV>
          <wp:extent cx="5760720" cy="819785"/>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819785"/>
                  </a:xfrm>
                  <a:prstGeom prst="rect">
                    <a:avLst/>
                  </a:prstGeom>
                  <a:noFill/>
                  <a:ln>
                    <a:noFill/>
                    <a:prstDash/>
                  </a:ln>
                </pic:spPr>
              </pic:pic>
            </a:graphicData>
          </a:graphic>
        </wp:anchor>
      </w:drawing>
    </w:r>
  </w:p>
  <w:p w14:paraId="70FE2E19" w14:textId="77777777" w:rsidR="00C728C5" w:rsidRDefault="00C728C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15:restartNumberingAfterBreak="0">
    <w:nsid w:val="02827148"/>
    <w:multiLevelType w:val="hybridMultilevel"/>
    <w:tmpl w:val="59823016"/>
    <w:lvl w:ilvl="0" w:tplc="52E6B3C0">
      <w:start w:val="1"/>
      <w:numFmt w:val="decimal"/>
      <w:lvlText w:val="%1)"/>
      <w:lvlJc w:val="left"/>
      <w:pPr>
        <w:ind w:left="1440" w:hanging="360"/>
      </w:pPr>
      <w:rPr>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BD795E"/>
    <w:multiLevelType w:val="hybridMultilevel"/>
    <w:tmpl w:val="E43667C6"/>
    <w:lvl w:ilvl="0" w:tplc="04150011">
      <w:start w:val="1"/>
      <w:numFmt w:val="lowerLetter"/>
      <w:lvlText w:val="%1)"/>
      <w:lvlJc w:val="left"/>
      <w:pPr>
        <w:tabs>
          <w:tab w:val="num" w:pos="360"/>
        </w:tabs>
        <w:ind w:left="340" w:hanging="340"/>
      </w:pPr>
      <w:rPr>
        <w:rFonts w:ascii="Calibri" w:hAnsi="Calibri" w:hint="default"/>
        <w:b w:val="0"/>
        <w:i w:val="0"/>
        <w:sz w:val="22"/>
        <w:szCs w:val="22"/>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93C91"/>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B4F44"/>
    <w:multiLevelType w:val="hybridMultilevel"/>
    <w:tmpl w:val="55DAD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A324AA2"/>
    <w:multiLevelType w:val="hybridMultilevel"/>
    <w:tmpl w:val="E19A6DCA"/>
    <w:lvl w:ilvl="0" w:tplc="B2C81A18">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 w15:restartNumberingAfterBreak="0">
    <w:nsid w:val="0E9A6B69"/>
    <w:multiLevelType w:val="hybridMultilevel"/>
    <w:tmpl w:val="B8900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E0C88"/>
    <w:multiLevelType w:val="hybridMultilevel"/>
    <w:tmpl w:val="C67AAC8C"/>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11" w15:restartNumberingAfterBreak="0">
    <w:nsid w:val="1924379D"/>
    <w:multiLevelType w:val="hybridMultilevel"/>
    <w:tmpl w:val="65C0FA08"/>
    <w:lvl w:ilvl="0" w:tplc="CC569426">
      <w:start w:val="1"/>
      <w:numFmt w:val="bullet"/>
      <w:lvlText w:val=""/>
      <w:lvlJc w:val="left"/>
      <w:pPr>
        <w:ind w:left="1440" w:hanging="360"/>
      </w:pPr>
      <w:rPr>
        <w:rFonts w:ascii="Symbol" w:hAnsi="Symbol" w:hint="default"/>
        <w:color w:val="00206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4" w15:restartNumberingAfterBreak="0">
    <w:nsid w:val="1DFA2492"/>
    <w:multiLevelType w:val="hybridMultilevel"/>
    <w:tmpl w:val="C056299C"/>
    <w:lvl w:ilvl="0" w:tplc="AFFE3474">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1E600590"/>
    <w:multiLevelType w:val="hybridMultilevel"/>
    <w:tmpl w:val="40464B88"/>
    <w:lvl w:ilvl="0" w:tplc="E7462D4E">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3F67C1"/>
    <w:multiLevelType w:val="hybridMultilevel"/>
    <w:tmpl w:val="A0CC2408"/>
    <w:lvl w:ilvl="0" w:tplc="93F45D7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2518FF"/>
    <w:multiLevelType w:val="hybridMultilevel"/>
    <w:tmpl w:val="43626D60"/>
    <w:lvl w:ilvl="0" w:tplc="52E6B3C0">
      <w:start w:val="1"/>
      <w:numFmt w:val="decimal"/>
      <w:lvlText w:val="%1)"/>
      <w:lvlJc w:val="left"/>
      <w:pPr>
        <w:ind w:left="128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EC1ABF"/>
    <w:multiLevelType w:val="hybridMultilevel"/>
    <w:tmpl w:val="B5EA76C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9A168D"/>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4" w15:restartNumberingAfterBreak="0">
    <w:nsid w:val="3E626547"/>
    <w:multiLevelType w:val="hybridMultilevel"/>
    <w:tmpl w:val="231E9950"/>
    <w:lvl w:ilvl="0" w:tplc="52E6B3C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98518F"/>
    <w:multiLevelType w:val="hybridMultilevel"/>
    <w:tmpl w:val="6B9E1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1C85E25"/>
    <w:multiLevelType w:val="hybridMultilevel"/>
    <w:tmpl w:val="DEEA5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E33E48"/>
    <w:multiLevelType w:val="hybridMultilevel"/>
    <w:tmpl w:val="86D41C1A"/>
    <w:lvl w:ilvl="0" w:tplc="52E6B3C0">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29" w15:restartNumberingAfterBreak="0">
    <w:nsid w:val="4EBA07D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0" w15:restartNumberingAfterBreak="0">
    <w:nsid w:val="4F6E059B"/>
    <w:multiLevelType w:val="multilevel"/>
    <w:tmpl w:val="811EFD5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728" w:hanging="648"/>
      </w:pPr>
      <w:rPr>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1" w15:restartNumberingAfterBreak="0">
    <w:nsid w:val="511C6B3A"/>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2" w15:restartNumberingAfterBreak="0">
    <w:nsid w:val="5465657C"/>
    <w:multiLevelType w:val="hybridMultilevel"/>
    <w:tmpl w:val="29DC69AA"/>
    <w:lvl w:ilvl="0" w:tplc="3BC08F4A">
      <w:start w:val="1"/>
      <w:numFmt w:val="decimal"/>
      <w:lvlText w:val="%1."/>
      <w:lvlJc w:val="left"/>
      <w:pPr>
        <w:ind w:left="720" w:hanging="360"/>
      </w:pPr>
      <w:rPr>
        <w:b w:val="0"/>
        <w:i w:val="0"/>
        <w:color w:val="000000"/>
      </w:rPr>
    </w:lvl>
    <w:lvl w:ilvl="1" w:tplc="E684D82C">
      <w:start w:val="1"/>
      <w:numFmt w:val="lowerLetter"/>
      <w:lvlText w:val="%2."/>
      <w:lvlJc w:val="left"/>
      <w:pPr>
        <w:ind w:left="1440"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11C69"/>
    <w:multiLevelType w:val="hybridMultilevel"/>
    <w:tmpl w:val="B084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E4256"/>
    <w:multiLevelType w:val="hybridMultilevel"/>
    <w:tmpl w:val="2D3E060E"/>
    <w:lvl w:ilvl="0" w:tplc="52E6B3C0">
      <w:start w:val="1"/>
      <w:numFmt w:val="decimal"/>
      <w:lvlText w:val="%1)"/>
      <w:lvlJc w:val="left"/>
      <w:pPr>
        <w:ind w:left="1647" w:hanging="360"/>
      </w:pPr>
      <w:rPr>
        <w:sz w:val="24"/>
        <w:szCs w:val="24"/>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5D00123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6" w15:restartNumberingAfterBreak="0">
    <w:nsid w:val="5D5D0C61"/>
    <w:multiLevelType w:val="multilevel"/>
    <w:tmpl w:val="7F625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955" w:hanging="435"/>
      </w:pPr>
      <w:rPr>
        <w:rFonts w:hint="default"/>
        <w:b w:val="0"/>
        <w:bCs/>
        <w:i w:val="0"/>
        <w:iCs/>
        <w:color w:val="auto"/>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107E3"/>
    <w:multiLevelType w:val="hybridMultilevel"/>
    <w:tmpl w:val="8EFA75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12475DA"/>
    <w:multiLevelType w:val="hybridMultilevel"/>
    <w:tmpl w:val="EAEAB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5B5F33"/>
    <w:multiLevelType w:val="hybridMultilevel"/>
    <w:tmpl w:val="D8C48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2" w15:restartNumberingAfterBreak="0">
    <w:nsid w:val="6A6C75A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43" w15:restartNumberingAfterBreak="0">
    <w:nsid w:val="6DFC18F0"/>
    <w:multiLevelType w:val="hybridMultilevel"/>
    <w:tmpl w:val="C0343E5A"/>
    <w:lvl w:ilvl="0" w:tplc="B2C81A18">
      <w:start w:val="1"/>
      <w:numFmt w:val="bullet"/>
      <w:lvlText w:val=""/>
      <w:lvlJc w:val="left"/>
      <w:pPr>
        <w:ind w:left="1457" w:hanging="360"/>
      </w:pPr>
      <w:rPr>
        <w:rFonts w:ascii="Symbol" w:hAnsi="Symbol" w:hint="default"/>
      </w:rPr>
    </w:lvl>
    <w:lvl w:ilvl="1" w:tplc="04150003">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4" w15:restartNumberingAfterBreak="0">
    <w:nsid w:val="703F747D"/>
    <w:multiLevelType w:val="hybridMultilevel"/>
    <w:tmpl w:val="71C4CE10"/>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5"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822F0F"/>
    <w:multiLevelType w:val="hybridMultilevel"/>
    <w:tmpl w:val="4294A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num>
  <w:num w:numId="2">
    <w:abstractNumId w:val="2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2"/>
  </w:num>
  <w:num w:numId="8">
    <w:abstractNumId w:val="15"/>
  </w:num>
  <w:num w:numId="9">
    <w:abstractNumId w:val="36"/>
  </w:num>
  <w:num w:numId="10">
    <w:abstractNumId w:val="11"/>
  </w:num>
  <w:num w:numId="11">
    <w:abstractNumId w:val="16"/>
  </w:num>
  <w:num w:numId="12">
    <w:abstractNumId w:val="2"/>
  </w:num>
  <w:num w:numId="13">
    <w:abstractNumId w:val="0"/>
  </w:num>
  <w:num w:numId="14">
    <w:abstractNumId w:val="44"/>
  </w:num>
  <w:num w:numId="15">
    <w:abstractNumId w:val="41"/>
  </w:num>
  <w:num w:numId="16">
    <w:abstractNumId w:val="9"/>
  </w:num>
  <w:num w:numId="17">
    <w:abstractNumId w:val="20"/>
  </w:num>
  <w:num w:numId="18">
    <w:abstractNumId w:val="30"/>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8"/>
  </w:num>
  <w:num w:numId="23">
    <w:abstractNumId w:val="21"/>
  </w:num>
  <w:num w:numId="24">
    <w:abstractNumId w:val="22"/>
  </w:num>
  <w:num w:numId="25">
    <w:abstractNumId w:val="45"/>
  </w:num>
  <w:num w:numId="26">
    <w:abstractNumId w:val="3"/>
  </w:num>
  <w:num w:numId="27">
    <w:abstractNumId w:val="33"/>
  </w:num>
  <w:num w:numId="28">
    <w:abstractNumId w:val="42"/>
  </w:num>
  <w:num w:numId="29">
    <w:abstractNumId w:val="35"/>
  </w:num>
  <w:num w:numId="30">
    <w:abstractNumId w:val="29"/>
  </w:num>
  <w:num w:numId="31">
    <w:abstractNumId w:val="31"/>
  </w:num>
  <w:num w:numId="32">
    <w:abstractNumId w:val="7"/>
  </w:num>
  <w:num w:numId="33">
    <w:abstractNumId w:val="43"/>
  </w:num>
  <w:num w:numId="34">
    <w:abstractNumId w:val="14"/>
  </w:num>
  <w:num w:numId="35">
    <w:abstractNumId w:val="6"/>
  </w:num>
  <w:num w:numId="36">
    <w:abstractNumId w:val="47"/>
  </w:num>
  <w:num w:numId="37">
    <w:abstractNumId w:val="40"/>
  </w:num>
  <w:num w:numId="38">
    <w:abstractNumId w:val="25"/>
  </w:num>
  <w:num w:numId="39">
    <w:abstractNumId w:val="5"/>
  </w:num>
  <w:num w:numId="40">
    <w:abstractNumId w:val="37"/>
  </w:num>
  <w:num w:numId="41">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9"/>
  </w:num>
  <w:num w:numId="44">
    <w:abstractNumId w:val="27"/>
  </w:num>
  <w:num w:numId="45">
    <w:abstractNumId w:val="18"/>
  </w:num>
  <w:num w:numId="46">
    <w:abstractNumId w:val="34"/>
  </w:num>
  <w:num w:numId="47">
    <w:abstractNumId w:val="24"/>
  </w:num>
  <w:num w:numId="48">
    <w:abstractNumId w:val="1"/>
  </w:num>
  <w:num w:numId="49">
    <w:abstractNumId w:val="4"/>
  </w:num>
  <w:num w:numId="5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8C5"/>
    <w:rsid w:val="000311F3"/>
    <w:rsid w:val="000475B1"/>
    <w:rsid w:val="000B58E8"/>
    <w:rsid w:val="000D04B9"/>
    <w:rsid w:val="000F65DE"/>
    <w:rsid w:val="001031E7"/>
    <w:rsid w:val="00130670"/>
    <w:rsid w:val="001512B1"/>
    <w:rsid w:val="001730FF"/>
    <w:rsid w:val="00190865"/>
    <w:rsid w:val="001A4A33"/>
    <w:rsid w:val="001F6044"/>
    <w:rsid w:val="002317DD"/>
    <w:rsid w:val="002737EA"/>
    <w:rsid w:val="002939A4"/>
    <w:rsid w:val="00336D2F"/>
    <w:rsid w:val="00355CB6"/>
    <w:rsid w:val="003C6DBD"/>
    <w:rsid w:val="003F621C"/>
    <w:rsid w:val="00421F35"/>
    <w:rsid w:val="00463A5C"/>
    <w:rsid w:val="00470A5D"/>
    <w:rsid w:val="004A08DC"/>
    <w:rsid w:val="004A4673"/>
    <w:rsid w:val="004C790A"/>
    <w:rsid w:val="0059338B"/>
    <w:rsid w:val="005F33FB"/>
    <w:rsid w:val="00637CAF"/>
    <w:rsid w:val="006A428F"/>
    <w:rsid w:val="006F613B"/>
    <w:rsid w:val="0073788F"/>
    <w:rsid w:val="007571D5"/>
    <w:rsid w:val="00764F40"/>
    <w:rsid w:val="0078721F"/>
    <w:rsid w:val="007B1FA5"/>
    <w:rsid w:val="007B71E7"/>
    <w:rsid w:val="00851872"/>
    <w:rsid w:val="00852976"/>
    <w:rsid w:val="00873119"/>
    <w:rsid w:val="0089617E"/>
    <w:rsid w:val="008B5E42"/>
    <w:rsid w:val="009322D2"/>
    <w:rsid w:val="00933299"/>
    <w:rsid w:val="009611F7"/>
    <w:rsid w:val="009C56FC"/>
    <w:rsid w:val="00A42C10"/>
    <w:rsid w:val="00A46CE7"/>
    <w:rsid w:val="00A5123A"/>
    <w:rsid w:val="00A53B9E"/>
    <w:rsid w:val="00A8324B"/>
    <w:rsid w:val="00A950FD"/>
    <w:rsid w:val="00AC0ACE"/>
    <w:rsid w:val="00AD4D68"/>
    <w:rsid w:val="00AE55E1"/>
    <w:rsid w:val="00AF316E"/>
    <w:rsid w:val="00B91AD2"/>
    <w:rsid w:val="00BF0CE3"/>
    <w:rsid w:val="00C448A3"/>
    <w:rsid w:val="00C51695"/>
    <w:rsid w:val="00C60237"/>
    <w:rsid w:val="00C728C5"/>
    <w:rsid w:val="00C90F24"/>
    <w:rsid w:val="00CC6532"/>
    <w:rsid w:val="00D02844"/>
    <w:rsid w:val="00D57490"/>
    <w:rsid w:val="00E24319"/>
    <w:rsid w:val="00E42AA1"/>
    <w:rsid w:val="00E84130"/>
    <w:rsid w:val="00F170CB"/>
    <w:rsid w:val="00F23FD8"/>
    <w:rsid w:val="00FD79CC"/>
    <w:rsid w:val="00FE47A8"/>
    <w:rsid w:val="00FF0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A280"/>
  <w15:docId w15:val="{01EC008E-04B9-4744-9BFA-3425529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
    <w:basedOn w:val="Domylnaczcionkaakapitu"/>
    <w:uiPriority w:val="34"/>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489">
      <w:bodyDiv w:val="1"/>
      <w:marLeft w:val="0"/>
      <w:marRight w:val="0"/>
      <w:marTop w:val="0"/>
      <w:marBottom w:val="0"/>
      <w:divBdr>
        <w:top w:val="none" w:sz="0" w:space="0" w:color="auto"/>
        <w:left w:val="none" w:sz="0" w:space="0" w:color="auto"/>
        <w:bottom w:val="none" w:sz="0" w:space="0" w:color="auto"/>
        <w:right w:val="none" w:sz="0" w:space="0" w:color="auto"/>
      </w:divBdr>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015">
      <w:bodyDiv w:val="1"/>
      <w:marLeft w:val="0"/>
      <w:marRight w:val="0"/>
      <w:marTop w:val="0"/>
      <w:marBottom w:val="0"/>
      <w:divBdr>
        <w:top w:val="none" w:sz="0" w:space="0" w:color="auto"/>
        <w:left w:val="none" w:sz="0" w:space="0" w:color="auto"/>
        <w:bottom w:val="none" w:sz="0" w:space="0" w:color="auto"/>
        <w:right w:val="none" w:sz="0" w:space="0" w:color="auto"/>
      </w:divBdr>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490">
      <w:bodyDiv w:val="1"/>
      <w:marLeft w:val="0"/>
      <w:marRight w:val="0"/>
      <w:marTop w:val="0"/>
      <w:marBottom w:val="0"/>
      <w:divBdr>
        <w:top w:val="none" w:sz="0" w:space="0" w:color="auto"/>
        <w:left w:val="none" w:sz="0" w:space="0" w:color="auto"/>
        <w:bottom w:val="none" w:sz="0" w:space="0" w:color="auto"/>
        <w:right w:val="none" w:sz="0" w:space="0" w:color="auto"/>
      </w:divBdr>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4602">
      <w:bodyDiv w:val="1"/>
      <w:marLeft w:val="0"/>
      <w:marRight w:val="0"/>
      <w:marTop w:val="0"/>
      <w:marBottom w:val="0"/>
      <w:divBdr>
        <w:top w:val="none" w:sz="0" w:space="0" w:color="auto"/>
        <w:left w:val="none" w:sz="0" w:space="0" w:color="auto"/>
        <w:bottom w:val="none" w:sz="0" w:space="0" w:color="auto"/>
        <w:right w:val="none" w:sz="0" w:space="0" w:color="auto"/>
      </w:divBdr>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2601">
      <w:bodyDiv w:val="1"/>
      <w:marLeft w:val="0"/>
      <w:marRight w:val="0"/>
      <w:marTop w:val="0"/>
      <w:marBottom w:val="0"/>
      <w:divBdr>
        <w:top w:val="none" w:sz="0" w:space="0" w:color="auto"/>
        <w:left w:val="none" w:sz="0" w:space="0" w:color="auto"/>
        <w:bottom w:val="none" w:sz="0" w:space="0" w:color="auto"/>
        <w:right w:val="none" w:sz="0" w:space="0" w:color="auto"/>
      </w:divBdr>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09600170">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rtus.toru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E0CD-5B9B-492C-922F-BF78AA2D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6770</TotalTime>
  <Pages>31</Pages>
  <Words>9723</Words>
  <Characters>58339</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SobczakMarcin</cp:lastModifiedBy>
  <cp:revision>235</cp:revision>
  <cp:lastPrinted>2019-04-18T09:51:00Z</cp:lastPrinted>
  <dcterms:created xsi:type="dcterms:W3CDTF">2020-02-20T11:07:00Z</dcterms:created>
  <dcterms:modified xsi:type="dcterms:W3CDTF">2022-07-27T08:12:00Z</dcterms:modified>
  <cp:contentStatus/>
</cp:coreProperties>
</file>