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CD6C" w14:textId="27376BD2" w:rsidR="00CD34D7" w:rsidRPr="00CD34D7" w:rsidRDefault="00CD34D7" w:rsidP="00CD34D7">
      <w:pPr>
        <w:autoSpaceDE w:val="0"/>
        <w:autoSpaceDN w:val="0"/>
        <w:adjustRightInd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CD34D7">
        <w:rPr>
          <w:rFonts w:ascii="Arial" w:hAnsi="Arial" w:cs="Arial"/>
          <w:sz w:val="22"/>
          <w:szCs w:val="22"/>
        </w:rPr>
        <w:t>Opole Lubelskie, dnia 28 czerwca 2022r.</w:t>
      </w:r>
    </w:p>
    <w:p w14:paraId="16E53BA8" w14:textId="77777777" w:rsidR="00CD34D7" w:rsidRDefault="00CD34D7" w:rsidP="00953165">
      <w:pPr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DDA05A" w14:textId="14302AC3" w:rsidR="00953165" w:rsidRPr="00C235CA" w:rsidRDefault="00CD34D7" w:rsidP="00953165">
      <w:pPr>
        <w:autoSpaceDE w:val="0"/>
        <w:autoSpaceDN w:val="0"/>
        <w:adjustRightInd w:val="0"/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953165" w:rsidRPr="00C235CA">
        <w:rPr>
          <w:rFonts w:ascii="Arial" w:hAnsi="Arial" w:cs="Arial"/>
          <w:b/>
          <w:bCs/>
          <w:sz w:val="22"/>
          <w:szCs w:val="22"/>
        </w:rPr>
        <w:t xml:space="preserve">nformacja </w:t>
      </w:r>
      <w:r w:rsidR="00953165" w:rsidRPr="00C235CA">
        <w:rPr>
          <w:rFonts w:ascii="Arial" w:hAnsi="Arial" w:cs="Arial"/>
          <w:b/>
          <w:bCs/>
          <w:sz w:val="22"/>
          <w:szCs w:val="22"/>
        </w:rPr>
        <w:br/>
        <w:t>o zbędnych i zużytych składnikach majątku</w:t>
      </w:r>
      <w:r w:rsidR="00953165" w:rsidRPr="00C235CA">
        <w:rPr>
          <w:rFonts w:ascii="Arial" w:hAnsi="Arial" w:cs="Arial"/>
          <w:b/>
          <w:bCs/>
          <w:sz w:val="22"/>
          <w:szCs w:val="22"/>
        </w:rPr>
        <w:br/>
        <w:t>ruchomego Powiatowego Inspektoratu Nadzoru Budowlanego w Opolu Lubelskim</w:t>
      </w:r>
      <w:r w:rsidR="00953165" w:rsidRPr="00C235CA">
        <w:rPr>
          <w:rFonts w:ascii="Arial" w:hAnsi="Arial" w:cs="Arial"/>
          <w:b/>
          <w:bCs/>
          <w:sz w:val="22"/>
          <w:szCs w:val="22"/>
        </w:rPr>
        <w:br/>
      </w:r>
    </w:p>
    <w:p w14:paraId="315D8479" w14:textId="77777777" w:rsidR="00953165" w:rsidRDefault="00953165" w:rsidP="0095316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t>Na podstawie Rozporządzenia Rady Ministrów z dnia 21 października 2019 r.</w:t>
      </w:r>
      <w:r w:rsidRPr="00C235CA">
        <w:rPr>
          <w:rFonts w:ascii="Arial" w:hAnsi="Arial" w:cs="Arial"/>
          <w:sz w:val="22"/>
          <w:szCs w:val="22"/>
        </w:rPr>
        <w:br/>
        <w:t>w sprawie szczegółowego sposobu gospodarowania niektórymi składnikami rzeczowymi</w:t>
      </w:r>
      <w:r w:rsidRPr="00C235CA">
        <w:rPr>
          <w:rFonts w:ascii="Arial" w:hAnsi="Arial" w:cs="Arial"/>
          <w:sz w:val="22"/>
          <w:szCs w:val="22"/>
        </w:rPr>
        <w:br/>
        <w:t>majątku ruchomego Skarbu Państwa (Dz. U. z 2019 r. poz. 2004 z późn. zm.) PINB  w Opolu Lubelskim informuje, iż posiada zbędne i zużyte składniki majątku ruchomego przeznaczone do nieodpłatnego przekazania lub darowizny</w:t>
      </w:r>
      <w:r>
        <w:rPr>
          <w:rFonts w:ascii="Arial" w:hAnsi="Arial" w:cs="Arial"/>
          <w:sz w:val="22"/>
          <w:szCs w:val="22"/>
        </w:rPr>
        <w:t xml:space="preserve"> jednostkom spełniającym warunki określone w ww. Rozporządzeniu</w:t>
      </w:r>
      <w:r w:rsidRPr="00C235CA">
        <w:rPr>
          <w:rFonts w:ascii="Arial" w:hAnsi="Arial" w:cs="Arial"/>
          <w:sz w:val="22"/>
          <w:szCs w:val="22"/>
        </w:rPr>
        <w:t>.</w:t>
      </w:r>
    </w:p>
    <w:p w14:paraId="6BAFDF62" w14:textId="77777777" w:rsidR="00953165" w:rsidRPr="00C235CA" w:rsidRDefault="00953165" w:rsidP="0095316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br/>
      </w:r>
    </w:p>
    <w:p w14:paraId="5519B31A" w14:textId="77777777" w:rsidR="00953165" w:rsidRPr="00367217" w:rsidRDefault="00953165" w:rsidP="0095316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t>W przypadku zainteresowania nieodpłatnym przekazaniem (jednostki sektora finansów</w:t>
      </w:r>
      <w:r w:rsidRPr="00C235CA">
        <w:rPr>
          <w:rFonts w:ascii="Arial" w:hAnsi="Arial" w:cs="Arial"/>
          <w:sz w:val="22"/>
          <w:szCs w:val="22"/>
        </w:rPr>
        <w:br/>
        <w:t>publicznych lub państwowych osób prawnych, które nie są jednostkami sektora finansów</w:t>
      </w:r>
      <w:r w:rsidRPr="00C235CA">
        <w:rPr>
          <w:rFonts w:ascii="Arial" w:hAnsi="Arial" w:cs="Arial"/>
          <w:sz w:val="22"/>
          <w:szCs w:val="22"/>
        </w:rPr>
        <w:br/>
        <w:t>publicznych) składników rzeczowych majątku ruchomego, należy złożyć pisemny wniosek</w:t>
      </w:r>
      <w:r w:rsidRPr="00C235CA">
        <w:rPr>
          <w:rFonts w:ascii="Arial" w:hAnsi="Arial" w:cs="Arial"/>
          <w:sz w:val="22"/>
          <w:szCs w:val="22"/>
        </w:rPr>
        <w:br/>
        <w:t>zawierający następujące informacje:</w:t>
      </w:r>
    </w:p>
    <w:p w14:paraId="55F8DA10" w14:textId="77777777" w:rsidR="00953165" w:rsidRPr="00C235CA" w:rsidRDefault="00953165" w:rsidP="00953165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6D28E0D" w14:textId="77777777" w:rsidR="00953165" w:rsidRPr="00C235CA" w:rsidRDefault="00953165" w:rsidP="0095316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t>nazwę, siedzibę, adres i telefon kontaktowy podmiotu występującego,</w:t>
      </w:r>
    </w:p>
    <w:p w14:paraId="16A05454" w14:textId="77777777" w:rsidR="00953165" w:rsidRPr="00C235CA" w:rsidRDefault="00953165" w:rsidP="0095316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t>wskazanie składnika majątku ruchomego, którego wniosek dotyczy,</w:t>
      </w:r>
    </w:p>
    <w:p w14:paraId="1FCFD88F" w14:textId="77777777" w:rsidR="00953165" w:rsidRPr="00C235CA" w:rsidRDefault="00953165" w:rsidP="0095316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t>oświadczenie, że przekazany składnik rzeczowy majątku ruchomego zostanie odebrany</w:t>
      </w:r>
      <w:r w:rsidRPr="00367217">
        <w:rPr>
          <w:rFonts w:ascii="Arial" w:hAnsi="Arial" w:cs="Arial"/>
          <w:sz w:val="22"/>
          <w:szCs w:val="22"/>
        </w:rPr>
        <w:t xml:space="preserve"> </w:t>
      </w:r>
      <w:r w:rsidRPr="00C235CA">
        <w:rPr>
          <w:rFonts w:ascii="Arial" w:hAnsi="Arial" w:cs="Arial"/>
          <w:sz w:val="22"/>
          <w:szCs w:val="22"/>
        </w:rPr>
        <w:t>w terminie i miejscu wskazanym w protokole zdawczo-odbiorczym.</w:t>
      </w:r>
      <w:r w:rsidRPr="00C235CA">
        <w:rPr>
          <w:rFonts w:ascii="Arial" w:hAnsi="Arial" w:cs="Arial"/>
          <w:sz w:val="22"/>
          <w:szCs w:val="22"/>
        </w:rPr>
        <w:br/>
      </w:r>
    </w:p>
    <w:p w14:paraId="03B3A8B7" w14:textId="77777777" w:rsidR="00953165" w:rsidRPr="00367217" w:rsidRDefault="00953165" w:rsidP="00953165">
      <w:pPr>
        <w:spacing w:after="160" w:line="259" w:lineRule="auto"/>
        <w:ind w:firstLine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7217">
        <w:rPr>
          <w:rFonts w:ascii="Arial" w:eastAsia="Calibri" w:hAnsi="Arial" w:cs="Arial"/>
          <w:sz w:val="22"/>
          <w:szCs w:val="22"/>
          <w:lang w:eastAsia="en-US"/>
        </w:rPr>
        <w:t>W przypadku zainteresowania sprzedażą (osoby fizyczne i firmy) składników majątku</w:t>
      </w:r>
      <w:r w:rsidRPr="00367217">
        <w:rPr>
          <w:rFonts w:ascii="Arial" w:eastAsia="Calibri" w:hAnsi="Arial" w:cs="Arial"/>
          <w:sz w:val="22"/>
          <w:szCs w:val="22"/>
          <w:lang w:eastAsia="en-US"/>
        </w:rPr>
        <w:br/>
        <w:t>ruchomego, należy złożyć pisemny wniosek zawierający następujące informacje:</w:t>
      </w:r>
    </w:p>
    <w:p w14:paraId="1E5C21E4" w14:textId="77777777" w:rsidR="00953165" w:rsidRPr="00C235CA" w:rsidRDefault="00953165" w:rsidP="00953165">
      <w:pPr>
        <w:numPr>
          <w:ilvl w:val="0"/>
          <w:numId w:val="2"/>
        </w:numPr>
        <w:spacing w:after="160" w:line="259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t>dane osoby fizycznej (imię, nazwisko, adres oraz telefon kontaktowy) lub firmę (nazwa, siedziba, NIP oraz telefon kontaktowy),</w:t>
      </w:r>
    </w:p>
    <w:p w14:paraId="4F8CDE27" w14:textId="77777777" w:rsidR="00953165" w:rsidRPr="00C235CA" w:rsidRDefault="00953165" w:rsidP="00953165">
      <w:pPr>
        <w:numPr>
          <w:ilvl w:val="0"/>
          <w:numId w:val="2"/>
        </w:numPr>
        <w:spacing w:after="160" w:line="259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t>wykaz składników objętych zakupem.</w:t>
      </w:r>
      <w:r w:rsidRPr="00C235CA">
        <w:rPr>
          <w:rFonts w:ascii="Arial" w:hAnsi="Arial" w:cs="Arial"/>
          <w:sz w:val="22"/>
          <w:szCs w:val="22"/>
        </w:rPr>
        <w:br/>
      </w:r>
    </w:p>
    <w:p w14:paraId="6A334C17" w14:textId="77777777" w:rsidR="00953165" w:rsidRPr="00367217" w:rsidRDefault="00953165" w:rsidP="00953165">
      <w:pPr>
        <w:jc w:val="both"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t xml:space="preserve">      </w:t>
      </w:r>
      <w:r w:rsidRPr="00C235CA">
        <w:rPr>
          <w:rFonts w:ascii="Arial" w:hAnsi="Arial" w:cs="Arial"/>
          <w:sz w:val="22"/>
          <w:szCs w:val="22"/>
        </w:rPr>
        <w:br/>
        <w:t>W przypadku zainteresowania darowizną (jednostki sektora finansów publicznych lub</w:t>
      </w:r>
      <w:r w:rsidRPr="00C235CA">
        <w:rPr>
          <w:rFonts w:ascii="Arial" w:hAnsi="Arial" w:cs="Arial"/>
          <w:sz w:val="22"/>
          <w:szCs w:val="22"/>
        </w:rPr>
        <w:br/>
        <w:t>państwowych osób prawnych, które nie są jednostkami sektora finansów publicznych oraz</w:t>
      </w:r>
      <w:r w:rsidRPr="00C235CA">
        <w:rPr>
          <w:rFonts w:ascii="Arial" w:hAnsi="Arial" w:cs="Arial"/>
          <w:sz w:val="22"/>
          <w:szCs w:val="22"/>
        </w:rPr>
        <w:br/>
        <w:t>jednostki organizacyjne, o których mowa w art. 2 ustawy z dnia 14 grudnia 2016 r. – Prawo</w:t>
      </w:r>
      <w:r w:rsidRPr="00C235CA">
        <w:rPr>
          <w:rFonts w:ascii="Arial" w:hAnsi="Arial" w:cs="Arial"/>
          <w:sz w:val="22"/>
          <w:szCs w:val="22"/>
        </w:rPr>
        <w:br/>
        <w:t>oświatowe niebędące jednostkami sektora finansów publicznych, oraz fundacji i organizacji</w:t>
      </w:r>
      <w:r w:rsidRPr="00C235CA">
        <w:rPr>
          <w:rFonts w:ascii="Arial" w:hAnsi="Arial" w:cs="Arial"/>
          <w:sz w:val="22"/>
          <w:szCs w:val="22"/>
        </w:rPr>
        <w:br/>
        <w:t>pożytku publicznego, które prowadzą działalność charytatywną, opiekuńczą, kulturalną,</w:t>
      </w:r>
      <w:r w:rsidRPr="00C235CA">
        <w:rPr>
          <w:rFonts w:ascii="Arial" w:hAnsi="Arial" w:cs="Arial"/>
          <w:sz w:val="22"/>
          <w:szCs w:val="22"/>
        </w:rPr>
        <w:br/>
        <w:t>leczniczą, oświatową, naukową, badawczo-rozwojową, wychowawczą, sportową lub</w:t>
      </w:r>
      <w:r w:rsidRPr="00C235CA">
        <w:rPr>
          <w:rFonts w:ascii="Arial" w:hAnsi="Arial" w:cs="Arial"/>
          <w:sz w:val="22"/>
          <w:szCs w:val="22"/>
        </w:rPr>
        <w:br/>
        <w:t>turystyczną, z przeznaczeniem na realizację ich celów statutowych) składników majątku</w:t>
      </w:r>
      <w:r w:rsidRPr="00C235CA">
        <w:rPr>
          <w:rFonts w:ascii="Arial" w:hAnsi="Arial" w:cs="Arial"/>
          <w:sz w:val="22"/>
          <w:szCs w:val="22"/>
        </w:rPr>
        <w:br/>
        <w:t>ruchomego. Należy złożyć pisemny wniosek zawierający następujące informacje:</w:t>
      </w:r>
    </w:p>
    <w:p w14:paraId="4CFB0AF6" w14:textId="77777777" w:rsidR="00953165" w:rsidRPr="00367217" w:rsidRDefault="00953165" w:rsidP="00953165">
      <w:pPr>
        <w:jc w:val="both"/>
        <w:rPr>
          <w:rFonts w:ascii="Arial" w:hAnsi="Arial" w:cs="Arial"/>
          <w:sz w:val="22"/>
          <w:szCs w:val="22"/>
        </w:rPr>
      </w:pPr>
    </w:p>
    <w:p w14:paraId="55E05BD4" w14:textId="77777777" w:rsidR="00953165" w:rsidRPr="00367217" w:rsidRDefault="00953165" w:rsidP="009531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t>nazwę, siedzibę, NIP, adres i telefon kontaktowy podmiotu występującego,</w:t>
      </w:r>
    </w:p>
    <w:p w14:paraId="1B2FB367" w14:textId="77777777" w:rsidR="00953165" w:rsidRPr="00367217" w:rsidRDefault="00953165" w:rsidP="009531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t>wskazanie składnika majątku ruchomego, którego wniosek dotyczy,</w:t>
      </w:r>
    </w:p>
    <w:p w14:paraId="100232AA" w14:textId="77777777" w:rsidR="00953165" w:rsidRPr="00367217" w:rsidRDefault="00953165" w:rsidP="009531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t>oświadczenie, że przekazany składnik rzeczowy majątku ruchomego zostanie odebrany</w:t>
      </w:r>
      <w:r w:rsidRPr="00367217">
        <w:rPr>
          <w:rFonts w:ascii="Arial" w:hAnsi="Arial" w:cs="Arial"/>
          <w:sz w:val="22"/>
          <w:szCs w:val="22"/>
        </w:rPr>
        <w:t xml:space="preserve"> </w:t>
      </w:r>
      <w:r w:rsidRPr="00C235CA">
        <w:rPr>
          <w:rFonts w:ascii="Arial" w:hAnsi="Arial" w:cs="Arial"/>
          <w:sz w:val="22"/>
          <w:szCs w:val="22"/>
        </w:rPr>
        <w:t>w terminie i miejscu wskazanym w protokole zdawczo-odbiorczym,</w:t>
      </w:r>
    </w:p>
    <w:p w14:paraId="35873688" w14:textId="77777777" w:rsidR="00881DBE" w:rsidRDefault="00953165" w:rsidP="009531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t>statut podmiotu,</w:t>
      </w:r>
    </w:p>
    <w:p w14:paraId="3F5E58BC" w14:textId="1F43C804" w:rsidR="00953165" w:rsidRPr="00367217" w:rsidRDefault="00953165" w:rsidP="009531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t>pisemne uzasadnienie potrzeb i wskazanie sposobu wykorzystania</w:t>
      </w:r>
      <w:r w:rsidRPr="00C235CA">
        <w:rPr>
          <w:rFonts w:ascii="Arial" w:hAnsi="Arial" w:cs="Arial"/>
          <w:sz w:val="22"/>
          <w:szCs w:val="22"/>
        </w:rPr>
        <w:br/>
        <w:t>składnika</w:t>
      </w:r>
      <w:r w:rsidRPr="00367217">
        <w:rPr>
          <w:rFonts w:ascii="Arial" w:hAnsi="Arial" w:cs="Arial"/>
          <w:sz w:val="22"/>
          <w:szCs w:val="22"/>
        </w:rPr>
        <w:t>,</w:t>
      </w:r>
    </w:p>
    <w:p w14:paraId="217EE7E2" w14:textId="77777777" w:rsidR="00953165" w:rsidRPr="00367217" w:rsidRDefault="00953165" w:rsidP="009531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t xml:space="preserve"> zobowiązanie do pokrycia kosztów związanych z darowizną, w tym kosztów odbioru</w:t>
      </w:r>
      <w:r w:rsidRPr="00C235CA">
        <w:rPr>
          <w:rFonts w:ascii="Arial" w:hAnsi="Arial" w:cs="Arial"/>
          <w:sz w:val="22"/>
          <w:szCs w:val="22"/>
        </w:rPr>
        <w:br/>
        <w:t>składników</w:t>
      </w:r>
      <w:r w:rsidRPr="00367217">
        <w:rPr>
          <w:rFonts w:ascii="Arial" w:hAnsi="Arial" w:cs="Arial"/>
          <w:sz w:val="22"/>
          <w:szCs w:val="22"/>
        </w:rPr>
        <w:t xml:space="preserve"> </w:t>
      </w:r>
      <w:r w:rsidRPr="00C235CA">
        <w:rPr>
          <w:rFonts w:ascii="Arial" w:hAnsi="Arial" w:cs="Arial"/>
          <w:sz w:val="22"/>
          <w:szCs w:val="22"/>
        </w:rPr>
        <w:t>rzeczowych</w:t>
      </w:r>
      <w:r w:rsidRPr="00367217">
        <w:rPr>
          <w:rFonts w:ascii="Arial" w:hAnsi="Arial" w:cs="Arial"/>
          <w:sz w:val="22"/>
          <w:szCs w:val="22"/>
        </w:rPr>
        <w:t xml:space="preserve"> </w:t>
      </w:r>
      <w:r w:rsidRPr="00C235CA">
        <w:rPr>
          <w:rFonts w:ascii="Arial" w:hAnsi="Arial" w:cs="Arial"/>
          <w:sz w:val="22"/>
          <w:szCs w:val="22"/>
        </w:rPr>
        <w:t>majątku.</w:t>
      </w:r>
      <w:r w:rsidRPr="00C235CA">
        <w:rPr>
          <w:rFonts w:ascii="Arial" w:hAnsi="Arial" w:cs="Arial"/>
          <w:sz w:val="22"/>
          <w:szCs w:val="22"/>
        </w:rPr>
        <w:br/>
      </w:r>
    </w:p>
    <w:p w14:paraId="1C929CCD" w14:textId="32B9A648" w:rsidR="00953165" w:rsidRPr="00881DBE" w:rsidRDefault="00953165" w:rsidP="00113730">
      <w:pPr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C235CA">
        <w:rPr>
          <w:rFonts w:ascii="Arial" w:hAnsi="Arial" w:cs="Arial"/>
          <w:sz w:val="22"/>
          <w:szCs w:val="22"/>
        </w:rPr>
        <w:t xml:space="preserve">  </w:t>
      </w:r>
      <w:r w:rsidRPr="00C235CA">
        <w:rPr>
          <w:rFonts w:ascii="Arial" w:hAnsi="Arial" w:cs="Arial"/>
          <w:sz w:val="22"/>
          <w:szCs w:val="22"/>
        </w:rPr>
        <w:br/>
      </w:r>
      <w:r w:rsidRPr="00881DBE">
        <w:rPr>
          <w:rFonts w:ascii="Arial" w:hAnsi="Arial" w:cs="Arial"/>
          <w:sz w:val="22"/>
          <w:szCs w:val="22"/>
          <w:u w:val="single"/>
        </w:rPr>
        <w:t xml:space="preserve">Pisemne wnioski, o których mowa powyżej należy kierować </w:t>
      </w:r>
      <w:r w:rsidR="00113730">
        <w:rPr>
          <w:rFonts w:ascii="Arial" w:hAnsi="Arial" w:cs="Arial"/>
          <w:sz w:val="22"/>
          <w:szCs w:val="22"/>
          <w:u w:val="single"/>
        </w:rPr>
        <w:t>na adres</w:t>
      </w:r>
      <w:r w:rsidRPr="00881DBE">
        <w:rPr>
          <w:rFonts w:ascii="Arial" w:hAnsi="Arial" w:cs="Arial"/>
          <w:sz w:val="22"/>
          <w:szCs w:val="22"/>
          <w:u w:val="single"/>
        </w:rPr>
        <w:t xml:space="preserve"> Powiatowego Inspektoratu Nadzoru Budowlanego w Opolu Lubelskim</w:t>
      </w:r>
      <w:r w:rsidR="00113730">
        <w:rPr>
          <w:rFonts w:ascii="Arial" w:hAnsi="Arial" w:cs="Arial"/>
          <w:sz w:val="22"/>
          <w:szCs w:val="22"/>
          <w:u w:val="single"/>
        </w:rPr>
        <w:t>, 24-300 Opole Lubelskie, ul. Parkowa 2</w:t>
      </w:r>
      <w:r w:rsidRPr="00881DBE">
        <w:rPr>
          <w:rFonts w:ascii="Arial" w:hAnsi="Arial" w:cs="Arial"/>
          <w:sz w:val="22"/>
          <w:szCs w:val="22"/>
          <w:u w:val="single"/>
        </w:rPr>
        <w:t xml:space="preserve"> lub za pośrednictwem poczty elektronicznej  </w:t>
      </w:r>
      <w:r w:rsidR="00113730">
        <w:rPr>
          <w:rFonts w:ascii="Arial" w:hAnsi="Arial" w:cs="Arial"/>
          <w:sz w:val="22"/>
          <w:szCs w:val="22"/>
          <w:u w:val="single"/>
        </w:rPr>
        <w:t xml:space="preserve">na </w:t>
      </w:r>
      <w:r w:rsidRPr="00881DBE">
        <w:rPr>
          <w:rFonts w:ascii="Arial" w:hAnsi="Arial" w:cs="Arial"/>
          <w:sz w:val="22"/>
          <w:szCs w:val="22"/>
          <w:u w:val="single"/>
        </w:rPr>
        <w:t>adres</w:t>
      </w:r>
      <w:r w:rsidR="00113730">
        <w:rPr>
          <w:rFonts w:ascii="Arial" w:hAnsi="Arial" w:cs="Arial"/>
          <w:sz w:val="22"/>
          <w:szCs w:val="22"/>
          <w:u w:val="single"/>
        </w:rPr>
        <w:t>:</w:t>
      </w:r>
      <w:r w:rsidRPr="00113730">
        <w:rPr>
          <w:rFonts w:ascii="Arial" w:hAnsi="Arial" w:cs="Arial"/>
          <w:sz w:val="22"/>
          <w:szCs w:val="22"/>
          <w:u w:val="single"/>
        </w:rPr>
        <w:t>pinbopole@op.pl</w:t>
      </w:r>
      <w:r w:rsidR="00113730">
        <w:rPr>
          <w:rFonts w:ascii="Arial" w:hAnsi="Arial" w:cs="Arial"/>
          <w:sz w:val="22"/>
          <w:szCs w:val="22"/>
          <w:u w:val="single"/>
        </w:rPr>
        <w:t xml:space="preserve"> w </w:t>
      </w:r>
      <w:r w:rsidRPr="00881DBE">
        <w:rPr>
          <w:rFonts w:ascii="Arial" w:hAnsi="Arial" w:cs="Arial"/>
          <w:sz w:val="22"/>
          <w:szCs w:val="22"/>
          <w:u w:val="single"/>
        </w:rPr>
        <w:br/>
      </w:r>
      <w:r w:rsidR="00113730" w:rsidRPr="00113730">
        <w:rPr>
          <w:rFonts w:ascii="Arial" w:hAnsi="Arial" w:cs="Arial"/>
          <w:b/>
          <w:bCs/>
          <w:sz w:val="22"/>
          <w:szCs w:val="22"/>
          <w:u w:val="single"/>
        </w:rPr>
        <w:t>w terminie do 1</w:t>
      </w:r>
      <w:r w:rsidR="00A921D2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113730" w:rsidRPr="00113730">
        <w:rPr>
          <w:rFonts w:ascii="Arial" w:hAnsi="Arial" w:cs="Arial"/>
          <w:b/>
          <w:bCs/>
          <w:sz w:val="22"/>
          <w:szCs w:val="22"/>
          <w:u w:val="single"/>
        </w:rPr>
        <w:t xml:space="preserve"> lipca 2022r.</w:t>
      </w:r>
    </w:p>
    <w:p w14:paraId="3F9613D4" w14:textId="77777777" w:rsidR="00953165" w:rsidRDefault="00953165" w:rsidP="00953165">
      <w:p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lastRenderedPageBreak/>
        <w:t>Rozpatrywanie wniosków odnośnie nieodpłatnego przekazania oraz darowizny odbywać się</w:t>
      </w:r>
      <w:r w:rsidRPr="00C235CA">
        <w:rPr>
          <w:rFonts w:ascii="Arial" w:hAnsi="Arial" w:cs="Arial"/>
          <w:sz w:val="22"/>
          <w:szCs w:val="22"/>
        </w:rPr>
        <w:br/>
        <w:t>będzie zgodnie z kolejnością ich wpływu.</w:t>
      </w:r>
      <w:r w:rsidRPr="00367217">
        <w:rPr>
          <w:rFonts w:ascii="Arial" w:hAnsi="Arial" w:cs="Arial"/>
          <w:sz w:val="22"/>
          <w:szCs w:val="22"/>
        </w:rPr>
        <w:t xml:space="preserve"> </w:t>
      </w:r>
      <w:r w:rsidRPr="00C235CA">
        <w:rPr>
          <w:rFonts w:ascii="Arial" w:hAnsi="Arial" w:cs="Arial"/>
          <w:sz w:val="22"/>
          <w:szCs w:val="22"/>
        </w:rPr>
        <w:t>Sprzedaż składników majątku ruchomego odbędzie się zgodnie z treścią w/w Rozporządzenia</w:t>
      </w:r>
      <w:r w:rsidRPr="00367217">
        <w:rPr>
          <w:rFonts w:ascii="Arial" w:hAnsi="Arial" w:cs="Arial"/>
          <w:sz w:val="22"/>
          <w:szCs w:val="22"/>
        </w:rPr>
        <w:t xml:space="preserve"> </w:t>
      </w:r>
      <w:r w:rsidRPr="00C235CA">
        <w:rPr>
          <w:rFonts w:ascii="Arial" w:hAnsi="Arial" w:cs="Arial"/>
          <w:sz w:val="22"/>
          <w:szCs w:val="22"/>
        </w:rPr>
        <w:t>oraz na podstawie wartości jednostkowej podanej w wykazie stanowiącym załącznik do niniejszej informacji. W przypadku wpływu co najmniej dwóch ofert dotyczących tego</w:t>
      </w:r>
      <w:r w:rsidRPr="00367217">
        <w:rPr>
          <w:rFonts w:ascii="Arial" w:hAnsi="Arial" w:cs="Arial"/>
          <w:sz w:val="22"/>
          <w:szCs w:val="22"/>
        </w:rPr>
        <w:t xml:space="preserve"> </w:t>
      </w:r>
      <w:r w:rsidRPr="00C235CA">
        <w:rPr>
          <w:rFonts w:ascii="Arial" w:hAnsi="Arial" w:cs="Arial"/>
          <w:sz w:val="22"/>
          <w:szCs w:val="22"/>
        </w:rPr>
        <w:t>samego składnika, zostanie przeprowadzona aukcja między tymi osobami. Wygra osoba, która</w:t>
      </w:r>
      <w:r w:rsidRPr="00367217">
        <w:rPr>
          <w:rFonts w:ascii="Arial" w:hAnsi="Arial" w:cs="Arial"/>
          <w:sz w:val="22"/>
          <w:szCs w:val="22"/>
        </w:rPr>
        <w:t xml:space="preserve"> </w:t>
      </w:r>
      <w:r w:rsidRPr="00C235CA">
        <w:rPr>
          <w:rFonts w:ascii="Arial" w:hAnsi="Arial" w:cs="Arial"/>
          <w:sz w:val="22"/>
          <w:szCs w:val="22"/>
        </w:rPr>
        <w:t>zaoferuje najwyższą cenę. Warunkiem przejścia składnika majątku ruchomego na nabywcę jest</w:t>
      </w:r>
      <w:r w:rsidRPr="00367217">
        <w:rPr>
          <w:rFonts w:ascii="Arial" w:hAnsi="Arial" w:cs="Arial"/>
          <w:sz w:val="22"/>
          <w:szCs w:val="22"/>
        </w:rPr>
        <w:t xml:space="preserve"> </w:t>
      </w:r>
      <w:r w:rsidRPr="00C235CA">
        <w:rPr>
          <w:rFonts w:ascii="Arial" w:hAnsi="Arial" w:cs="Arial"/>
          <w:sz w:val="22"/>
          <w:szCs w:val="22"/>
        </w:rPr>
        <w:t>uiszczenie całkowitej ceny nabycia.</w:t>
      </w:r>
      <w:r w:rsidRPr="00C235CA">
        <w:rPr>
          <w:rFonts w:ascii="Arial" w:hAnsi="Arial" w:cs="Arial"/>
          <w:sz w:val="22"/>
          <w:szCs w:val="22"/>
        </w:rPr>
        <w:br/>
      </w:r>
    </w:p>
    <w:p w14:paraId="7B837E0F" w14:textId="77777777" w:rsidR="00953165" w:rsidRDefault="00953165" w:rsidP="00953165">
      <w:p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Powiatowy Inspektorat Nadzoru Budowlanego w Opolu Lubelskim zastrzega, że zagospodarowanie:</w:t>
      </w:r>
    </w:p>
    <w:p w14:paraId="7E8801AD" w14:textId="77777777" w:rsidR="00953165" w:rsidRDefault="00953165" w:rsidP="0095316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sprzedaż, może dojść do skutku, o ile nie dojdzie do zagospodarowania składnikami majątku przez nieodpłatne przekazanie,</w:t>
      </w:r>
    </w:p>
    <w:p w14:paraId="42B55058" w14:textId="77777777" w:rsidR="00953165" w:rsidRDefault="00953165" w:rsidP="0095316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darowiznę, może dojść do skutku, o ile nie dojdzie do zagospodarowania składnika majątku przez nieodpłatne przekazanie lub sprzedaż.</w:t>
      </w:r>
    </w:p>
    <w:p w14:paraId="40D81B9B" w14:textId="77777777" w:rsidR="00953165" w:rsidRPr="00367217" w:rsidRDefault="00953165" w:rsidP="00953165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235CA">
        <w:rPr>
          <w:rFonts w:ascii="Arial" w:hAnsi="Arial" w:cs="Arial"/>
          <w:sz w:val="22"/>
          <w:szCs w:val="22"/>
        </w:rPr>
        <w:br/>
        <w:t>W przypadku, gdy zagospodarowanie składników majątku ruchomego określonych</w:t>
      </w:r>
      <w:r w:rsidRPr="00C235CA">
        <w:rPr>
          <w:rFonts w:ascii="Arial" w:hAnsi="Arial" w:cs="Arial"/>
          <w:sz w:val="22"/>
          <w:szCs w:val="22"/>
        </w:rPr>
        <w:br/>
        <w:t>w załącznikach nie dojdzie do skutku, wówczas wymienione składniki będą zlikwidowane</w:t>
      </w:r>
      <w:r w:rsidRPr="00C235CA">
        <w:rPr>
          <w:rFonts w:ascii="Arial" w:hAnsi="Arial" w:cs="Arial"/>
          <w:sz w:val="22"/>
          <w:szCs w:val="22"/>
        </w:rPr>
        <w:br/>
        <w:t>poprzez utylizację</w:t>
      </w:r>
      <w:r w:rsidRPr="00367217">
        <w:rPr>
          <w:rFonts w:ascii="Arial" w:hAnsi="Arial" w:cs="Arial"/>
          <w:sz w:val="22"/>
          <w:szCs w:val="22"/>
        </w:rPr>
        <w:t>.</w:t>
      </w:r>
    </w:p>
    <w:p w14:paraId="2848E63F" w14:textId="77777777" w:rsidR="00DF2D0F" w:rsidRDefault="00DF2D0F"/>
    <w:sectPr w:rsidR="00DF2D0F" w:rsidSect="00CD34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18E"/>
    <w:multiLevelType w:val="hybridMultilevel"/>
    <w:tmpl w:val="3BEEA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96B44"/>
    <w:multiLevelType w:val="hybridMultilevel"/>
    <w:tmpl w:val="DBBEC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516E6"/>
    <w:multiLevelType w:val="hybridMultilevel"/>
    <w:tmpl w:val="488A6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31CE"/>
    <w:multiLevelType w:val="hybridMultilevel"/>
    <w:tmpl w:val="F700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382744">
    <w:abstractNumId w:val="1"/>
  </w:num>
  <w:num w:numId="2" w16cid:durableId="928197527">
    <w:abstractNumId w:val="0"/>
  </w:num>
  <w:num w:numId="3" w16cid:durableId="2074573921">
    <w:abstractNumId w:val="2"/>
  </w:num>
  <w:num w:numId="4" w16cid:durableId="1939365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65"/>
    <w:rsid w:val="00113730"/>
    <w:rsid w:val="00881DBE"/>
    <w:rsid w:val="00881F5E"/>
    <w:rsid w:val="00953165"/>
    <w:rsid w:val="00A921D2"/>
    <w:rsid w:val="00C015B2"/>
    <w:rsid w:val="00CD34D7"/>
    <w:rsid w:val="00D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8ECD"/>
  <w15:chartTrackingRefBased/>
  <w15:docId w15:val="{C933872A-8DC1-4A4D-9AEB-5D75A048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3</cp:revision>
  <cp:lastPrinted>2022-06-28T07:46:00Z</cp:lastPrinted>
  <dcterms:created xsi:type="dcterms:W3CDTF">2022-06-28T07:26:00Z</dcterms:created>
  <dcterms:modified xsi:type="dcterms:W3CDTF">2022-06-28T07:55:00Z</dcterms:modified>
</cp:coreProperties>
</file>