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1" w:rsidRDefault="00AB6D01" w:rsidP="00AB6D01">
      <w:pPr>
        <w:pStyle w:val="Tre9ce6tekstu"/>
        <w:spacing w:before="120" w:line="276" w:lineRule="auto"/>
        <w:jc w:val="both"/>
        <w:rPr>
          <w:rFonts w:hAnsi="Times New Roman"/>
          <w:i/>
          <w:sz w:val="28"/>
        </w:rPr>
      </w:pPr>
      <w:r w:rsidRPr="00AB6D01">
        <w:rPr>
          <w:rFonts w:hAnsi="Times New Roman"/>
          <w:sz w:val="28"/>
        </w:rPr>
        <w:t xml:space="preserve">Zgodnie z ustawą z dnia 16 kwietnia 2020 r. </w:t>
      </w:r>
      <w:r w:rsidRPr="00AB6D01">
        <w:rPr>
          <w:rFonts w:hAnsi="Times New Roman"/>
          <w:i/>
          <w:sz w:val="28"/>
        </w:rPr>
        <w:t>o szczególnych instrumentach wsparcia      w związku z rozprzestrzenianiem się wirusa SARS-CoV-2</w:t>
      </w:r>
      <w:r w:rsidRPr="00AB6D01">
        <w:rPr>
          <w:rFonts w:hAnsi="Times New Roman"/>
          <w:sz w:val="28"/>
        </w:rPr>
        <w:t xml:space="preserve"> (Dz. U. z 2020 r. Poz. 695) w art. 73 zmieniającą ustawę z dnia 2 marca 2020 r. </w:t>
      </w:r>
      <w:r w:rsidRPr="00AB6D01">
        <w:rPr>
          <w:rFonts w:hAnsi="Times New Roman"/>
          <w:i/>
          <w:sz w:val="28"/>
        </w:rPr>
        <w:t>o szczególnych rozwiązaniach związanych z zapobieganiem, przeciwdziałaniem i zwalczaniem COVID-19, innych chorób zakaźnych oraz wywołanych nimi sytuacji kryzysowych</w:t>
      </w:r>
      <w:r w:rsidRPr="00AB6D01">
        <w:rPr>
          <w:rFonts w:hAnsi="Times New Roman"/>
          <w:sz w:val="28"/>
        </w:rPr>
        <w:t xml:space="preserve"> (Dz. U. poz. 374, 567 i 568) wprowadzającą zmiany min. w ustawie Prawo Budowlane, wprowadzono w punkcie 68 następujący zapis : </w:t>
      </w:r>
      <w:r w:rsidRPr="00AB6D01">
        <w:rPr>
          <w:rFonts w:hAnsi="Times New Roman"/>
          <w:i/>
          <w:sz w:val="28"/>
        </w:rPr>
        <w:t>po art. 31zy dodaje się art. 31zy</w:t>
      </w:r>
      <w:r w:rsidRPr="00AB6D01">
        <w:rPr>
          <w:rFonts w:hAnsi="Times New Roman"/>
          <w:i/>
          <w:sz w:val="28"/>
          <w:vertAlign w:val="superscript"/>
        </w:rPr>
        <w:t>1</w:t>
      </w:r>
      <w:r w:rsidRPr="00AB6D01">
        <w:rPr>
          <w:rFonts w:hAnsi="Times New Roman"/>
          <w:i/>
          <w:sz w:val="28"/>
        </w:rPr>
        <w:t xml:space="preserve"> –31zy</w:t>
      </w:r>
      <w:r w:rsidRPr="00AB6D01">
        <w:rPr>
          <w:rFonts w:hAnsi="Times New Roman"/>
          <w:i/>
          <w:sz w:val="28"/>
          <w:vertAlign w:val="superscript"/>
        </w:rPr>
        <w:t>10</w:t>
      </w:r>
      <w:r w:rsidRPr="00AB6D01">
        <w:rPr>
          <w:rFonts w:hAnsi="Times New Roman"/>
          <w:i/>
          <w:sz w:val="28"/>
        </w:rPr>
        <w:t xml:space="preserve"> w brzmieniu: „Art. 31zy</w:t>
      </w:r>
      <w:r w:rsidRPr="00AB6D01">
        <w:rPr>
          <w:rFonts w:hAnsi="Times New Roman"/>
          <w:i/>
          <w:sz w:val="28"/>
          <w:vertAlign w:val="superscript"/>
        </w:rPr>
        <w:t>1</w:t>
      </w:r>
      <w:r w:rsidRPr="00AB6D01">
        <w:rPr>
          <w:rFonts w:hAnsi="Times New Roman"/>
          <w:i/>
          <w:sz w:val="28"/>
        </w:rPr>
        <w:t xml:space="preserve"> ust. 1. </w:t>
      </w:r>
    </w:p>
    <w:p w:rsidR="00AB6D01" w:rsidRDefault="00AB6D01" w:rsidP="00AB6D01">
      <w:pPr>
        <w:pStyle w:val="Tre9ce6tekstu"/>
        <w:spacing w:before="120" w:line="276" w:lineRule="auto"/>
        <w:jc w:val="both"/>
        <w:rPr>
          <w:rFonts w:hAnsi="Times New Roman"/>
          <w:i/>
          <w:sz w:val="28"/>
        </w:rPr>
      </w:pPr>
    </w:p>
    <w:p w:rsidR="00AB6D01" w:rsidRPr="00AB6D01" w:rsidRDefault="00AB6D01" w:rsidP="00AB6D01">
      <w:pPr>
        <w:pStyle w:val="Tre9ce6tekstu"/>
        <w:spacing w:before="120" w:line="276" w:lineRule="auto"/>
        <w:jc w:val="both"/>
        <w:rPr>
          <w:rFonts w:hAnsi="Times New Roman"/>
          <w:i/>
          <w:sz w:val="28"/>
        </w:rPr>
      </w:pPr>
      <w:r w:rsidRPr="00AB6D01">
        <w:rPr>
          <w:rFonts w:hAnsi="Times New Roman"/>
          <w:i/>
          <w:sz w:val="28"/>
        </w:rPr>
        <w:t xml:space="preserve">W okresie stanu zagrożenia epidemicznego lub stanu epidemii ogłoszonego z powodu COVID-19 przepisów art. 55 ust. 1 </w:t>
      </w:r>
      <w:proofErr w:type="spellStart"/>
      <w:r w:rsidRPr="00AB6D01">
        <w:rPr>
          <w:rFonts w:hAnsi="Times New Roman"/>
          <w:i/>
          <w:sz w:val="28"/>
        </w:rPr>
        <w:t>pkt</w:t>
      </w:r>
      <w:proofErr w:type="spellEnd"/>
      <w:r w:rsidRPr="00AB6D01">
        <w:rPr>
          <w:rFonts w:hAnsi="Times New Roman"/>
          <w:i/>
          <w:sz w:val="28"/>
        </w:rPr>
        <w:t xml:space="preserve"> 1 i 3 ustawy z dnia 7 lipca 1994 r. – Prawo budowlane (Dz. U. z 2019 r. poz. 1186, z </w:t>
      </w:r>
      <w:proofErr w:type="spellStart"/>
      <w:r w:rsidRPr="00AB6D01">
        <w:rPr>
          <w:rFonts w:hAnsi="Times New Roman"/>
          <w:i/>
          <w:sz w:val="28"/>
        </w:rPr>
        <w:t>późn</w:t>
      </w:r>
      <w:proofErr w:type="spellEnd"/>
      <w:r w:rsidRPr="00AB6D01">
        <w:rPr>
          <w:rFonts w:hAnsi="Times New Roman"/>
          <w:i/>
          <w:sz w:val="28"/>
        </w:rPr>
        <w:t>. zm.20) ) nie stosuje się, a wnioski o udzielenie pozwolenia na użytkowanie złożone przed dniem wejścia w życie niniejszej ustawy, jeżeli nie wydano decyzji o pozwoleniu na użytkowanie, traktuje się jak zawiadomienie  o zakończeniu budowy o którym mowa w art. 54 ustawy z dnia 7 lipca 1994 r. – Prawo budowlane….”</w:t>
      </w:r>
    </w:p>
    <w:p w:rsidR="00AB6D01" w:rsidRPr="00AB6D01" w:rsidRDefault="00AB6D01" w:rsidP="00AB6D01">
      <w:pPr>
        <w:pStyle w:val="Tre9ce6tekstu"/>
        <w:spacing w:before="120" w:line="276" w:lineRule="auto"/>
        <w:jc w:val="both"/>
        <w:rPr>
          <w:rFonts w:hAnsi="Times New Roman"/>
          <w:b/>
          <w:sz w:val="28"/>
        </w:rPr>
      </w:pPr>
      <w:r w:rsidRPr="00AB6D01">
        <w:rPr>
          <w:rFonts w:hAnsi="Times New Roman"/>
          <w:b/>
          <w:sz w:val="28"/>
        </w:rPr>
        <w:t>Oznacza to, że wszystkie wnioski o pozwolenie na użytkowanie któ</w:t>
      </w:r>
      <w:r>
        <w:rPr>
          <w:rFonts w:hAnsi="Times New Roman"/>
          <w:b/>
          <w:sz w:val="28"/>
        </w:rPr>
        <w:t xml:space="preserve">re nie zostały rozpatrzone  </w:t>
      </w:r>
      <w:r w:rsidRPr="00AB6D01">
        <w:rPr>
          <w:rFonts w:hAnsi="Times New Roman"/>
          <w:b/>
          <w:sz w:val="28"/>
        </w:rPr>
        <w:t>w formie decyzji do dnia wejścia w życie ustawy, bądź zostały złożone do PINB w trakcie obowiązywania ustawy, należy traktować jako zawiadomienie o zakończeniu budowy.</w:t>
      </w:r>
    </w:p>
    <w:p w:rsidR="00BE5D17" w:rsidRPr="00AB6D01" w:rsidRDefault="00BE5D17" w:rsidP="00AB6D01"/>
    <w:sectPr w:rsidR="00BE5D17" w:rsidRPr="00AB6D01" w:rsidSect="00BE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D01"/>
    <w:rsid w:val="00AB6D01"/>
    <w:rsid w:val="00BE5D17"/>
    <w:rsid w:val="00EF035D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AB6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2021-08-13T06:39:00Z</dcterms:created>
  <dcterms:modified xsi:type="dcterms:W3CDTF">2021-08-13T06:44:00Z</dcterms:modified>
</cp:coreProperties>
</file>