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76"/>
        <w:jc w:val="right"/>
        <w:rPr>
          <w:rFonts w:ascii="Calibri Light" w:hAnsi="Calibri Light" w:cs="Calibri Light" w:asciiTheme="majorHAnsi" w:cstheme="majorHAnsi" w:hAnsiTheme="majorHAnsi"/>
          <w:b/>
          <w:b/>
          <w:bCs/>
          <w:sz w:val="22"/>
          <w:szCs w:val="22"/>
        </w:rPr>
      </w:pPr>
      <w:r>
        <w:rPr>
          <w:rFonts w:cs="Calibri Light" w:ascii="Calibri Light" w:hAnsi="Calibri Light" w:asciiTheme="majorHAnsi" w:cstheme="majorHAnsi" w:hAnsiTheme="majorHAnsi"/>
          <w:b/>
          <w:bCs/>
          <w:sz w:val="22"/>
          <w:szCs w:val="22"/>
        </w:rPr>
        <w:t>Załącznik nr 2 do SWZ</w:t>
      </w:r>
    </w:p>
    <w:p>
      <w:pPr>
        <w:pStyle w:val="Normal"/>
        <w:spacing w:lineRule="auto" w:line="276"/>
        <w:jc w:val="both"/>
        <w:rPr>
          <w:rFonts w:ascii="Calibri Light" w:hAnsi="Calibri Light" w:cs="Calibri Light" w:asciiTheme="majorHAnsi" w:cstheme="majorHAnsi" w:hAnsiTheme="majorHAnsi"/>
          <w:b/>
          <w:b/>
          <w:bCs/>
          <w:sz w:val="22"/>
          <w:szCs w:val="22"/>
        </w:rPr>
      </w:pPr>
      <w:r>
        <w:rPr>
          <w:rFonts w:cs="Calibri Light" w:cstheme="majorHAnsi" w:ascii="Calibri Light" w:hAnsi="Calibri Light"/>
          <w:b/>
          <w:bCs/>
          <w:sz w:val="22"/>
          <w:szCs w:val="22"/>
        </w:rPr>
      </w:r>
    </w:p>
    <w:p>
      <w:pPr>
        <w:pStyle w:val="Normal"/>
        <w:spacing w:lineRule="auto" w:line="276"/>
        <w:jc w:val="both"/>
        <w:rPr>
          <w:rFonts w:ascii="Calibri Light" w:hAnsi="Calibri Light" w:cs="Calibri Light" w:asciiTheme="majorHAnsi" w:cstheme="majorHAnsi" w:hAnsiTheme="majorHAnsi"/>
          <w:b/>
          <w:b/>
          <w:bCs/>
          <w:sz w:val="22"/>
          <w:szCs w:val="22"/>
        </w:rPr>
      </w:pPr>
      <w:r>
        <w:rPr>
          <w:rFonts w:cs="Calibri Light" w:ascii="Calibri Light" w:hAnsi="Calibri Light" w:asciiTheme="majorHAnsi" w:cstheme="majorHAnsi" w:hAnsiTheme="majorHAnsi"/>
          <w:b/>
          <w:bCs/>
          <w:sz w:val="22"/>
          <w:szCs w:val="22"/>
        </w:rPr>
        <w:t>PROJEKTOWANE POSTANOWIENIA UMOWY W SPRAWIE ZAMÓWIENIA PUBLICZNEGO, KTÓRE ZOSTANĄ WPROWADZONE DO UMOWY W SPRAWIE ZAMÓWIENIA PUBLICZNEGO na zadanie pn. KOMPLEKSOWA DOSTAWA GAZU ZIEMNEGO WYSOKOMETANOWEGO TYPU E NA POTRZEBY MEDYCZNEJ SZKOŁY POLICEALNEJ W PRZASNYSZU</w:t>
      </w:r>
    </w:p>
    <w:p>
      <w:pPr>
        <w:pStyle w:val="Normal"/>
        <w:spacing w:lineRule="auto" w:line="276"/>
        <w:jc w:val="both"/>
        <w:rPr>
          <w:rFonts w:ascii="Calibri Light" w:hAnsi="Calibri Light" w:cs="Calibri Light" w:asciiTheme="majorHAnsi" w:cstheme="majorHAnsi" w:hAnsiTheme="majorHAnsi"/>
          <w:sz w:val="22"/>
          <w:szCs w:val="22"/>
        </w:rPr>
      </w:pPr>
      <w:r>
        <w:rPr>
          <w:rFonts w:cs="Calibri Light" w:cstheme="majorHAnsi" w:ascii="Calibri Light" w:hAnsi="Calibri Light"/>
          <w:sz w:val="22"/>
          <w:szCs w:val="22"/>
        </w:rPr>
      </w:r>
    </w:p>
    <w:p>
      <w:pPr>
        <w:pStyle w:val="ListParagraph"/>
        <w:numPr>
          <w:ilvl w:val="0"/>
          <w:numId w:val="9"/>
        </w:numPr>
        <w:ind w:left="0" w:hanging="142"/>
        <w:jc w:val="both"/>
        <w:rPr>
          <w:rFonts w:ascii="Calibri Light" w:hAnsi="Calibri Light" w:cs="Calibri Light" w:asciiTheme="majorHAnsi" w:cstheme="majorHAnsi" w:hAnsiTheme="majorHAnsi"/>
          <w:b/>
          <w:b/>
        </w:rPr>
      </w:pPr>
      <w:r>
        <w:rPr>
          <w:rFonts w:cs="Calibri Light" w:ascii="Calibri Light" w:hAnsi="Calibri Light" w:asciiTheme="majorHAnsi" w:cstheme="majorHAnsi" w:hAnsiTheme="majorHAnsi"/>
          <w:b/>
        </w:rPr>
        <w:t>Postanowienia ogólne</w:t>
      </w:r>
    </w:p>
    <w:p>
      <w:pPr>
        <w:pStyle w:val="Normal"/>
        <w:spacing w:lineRule="auto" w:line="276"/>
        <w:ind w:left="720" w:hanging="0"/>
        <w:jc w:val="both"/>
        <w:rPr>
          <w:rFonts w:ascii="Calibri Light" w:hAnsi="Calibri Light" w:cs="Calibri Light" w:asciiTheme="majorHAnsi" w:cstheme="majorHAnsi" w:hAnsiTheme="majorHAnsi"/>
          <w:b/>
          <w:b/>
          <w:sz w:val="22"/>
          <w:szCs w:val="22"/>
          <w:u w:val="single"/>
        </w:rPr>
      </w:pPr>
      <w:r>
        <w:rPr>
          <w:rFonts w:cs="Calibri Light" w:cstheme="majorHAnsi" w:ascii="Calibri Light" w:hAnsi="Calibri Light"/>
          <w:b/>
          <w:sz w:val="22"/>
          <w:szCs w:val="22"/>
          <w:u w:val="single"/>
        </w:rPr>
      </w:r>
    </w:p>
    <w:p>
      <w:pPr>
        <w:pStyle w:val="Normal"/>
        <w:spacing w:lineRule="auto" w:line="276"/>
        <w:ind w:left="-142" w:hanging="0"/>
        <w:jc w:val="both"/>
        <w:rPr>
          <w:rFonts w:ascii="Calibri Light" w:hAnsi="Calibri Light" w:cs="Calibri Light" w:asciiTheme="majorHAnsi" w:cstheme="majorHAnsi" w:hAnsiTheme="majorHAnsi"/>
          <w:b/>
          <w:b/>
          <w:sz w:val="22"/>
          <w:szCs w:val="22"/>
        </w:rPr>
      </w:pPr>
      <w:r>
        <w:rPr>
          <w:rFonts w:cs="Calibri Light" w:ascii="Calibri Light" w:hAnsi="Calibri Light" w:asciiTheme="majorHAnsi" w:cstheme="majorHAnsi" w:hAnsiTheme="majorHAnsi"/>
          <w:b/>
          <w:sz w:val="22"/>
          <w:szCs w:val="22"/>
        </w:rPr>
        <w:t>W razie sprzeczności poniższych postanowień z zapisami wzorów umów stosowanych przez Wykonawców pierwszeństwo mają zapisy Projektowanych postanowień umowy w sprawie zamówienia publicznego, które zostaną wprowadzone do umowy w sprawie zamówienia publicznego.</w:t>
      </w:r>
    </w:p>
    <w:p>
      <w:pPr>
        <w:pStyle w:val="Arimr"/>
        <w:spacing w:lineRule="auto" w:line="276"/>
        <w:ind w:left="142" w:hanging="284"/>
        <w:jc w:val="both"/>
        <w:rPr>
          <w:rFonts w:ascii="Calibri Light" w:hAnsi="Calibri Light" w:cs="Calibri Light" w:asciiTheme="majorHAnsi" w:cstheme="majorHAnsi" w:hAnsiTheme="majorHAnsi"/>
          <w:sz w:val="22"/>
          <w:szCs w:val="22"/>
          <w:lang w:val="pl-PL"/>
        </w:rPr>
      </w:pPr>
      <w:r>
        <w:rPr>
          <w:rFonts w:cs="Calibri Light" w:cstheme="majorHAnsi" w:ascii="Calibri Light" w:hAnsi="Calibri Light"/>
          <w:sz w:val="22"/>
          <w:szCs w:val="22"/>
          <w:lang w:val="pl-PL"/>
        </w:rPr>
      </w:r>
    </w:p>
    <w:p>
      <w:pPr>
        <w:pStyle w:val="Arimr"/>
        <w:numPr>
          <w:ilvl w:val="2"/>
          <w:numId w:val="2"/>
        </w:numPr>
        <w:tabs>
          <w:tab w:val="clear" w:pos="708"/>
          <w:tab w:val="left" w:pos="142" w:leader="none"/>
        </w:tabs>
        <w:spacing w:lineRule="auto" w:line="276"/>
        <w:ind w:left="-142" w:right="-159" w:firstLine="142"/>
        <w:jc w:val="both"/>
        <w:rPr>
          <w:rFonts w:ascii="Calibri Light" w:hAnsi="Calibri Light" w:cs="Calibri Light" w:asciiTheme="majorHAnsi" w:cstheme="majorHAnsi" w:hAnsiTheme="majorHAnsi"/>
          <w:b/>
          <w:b/>
          <w:sz w:val="22"/>
          <w:szCs w:val="22"/>
          <w:lang w:val="pl-PL"/>
        </w:rPr>
      </w:pPr>
      <w:r>
        <w:rPr>
          <w:rFonts w:cs="Calibri Light" w:ascii="Calibri Light" w:hAnsi="Calibri Light" w:asciiTheme="majorHAnsi" w:cstheme="majorHAnsi" w:hAnsiTheme="majorHAnsi"/>
          <w:sz w:val="22"/>
          <w:szCs w:val="22"/>
          <w:lang w:val="pl-PL"/>
        </w:rPr>
        <w:t xml:space="preserve">Przedmiotem umowy jest </w:t>
      </w:r>
      <w:r>
        <w:rPr>
          <w:rFonts w:cs="Calibri Light" w:ascii="Calibri Light" w:hAnsi="Calibri Light" w:asciiTheme="majorHAnsi" w:cstheme="majorHAnsi" w:hAnsiTheme="majorHAnsi"/>
          <w:spacing w:val="-8"/>
          <w:sz w:val="22"/>
          <w:szCs w:val="22"/>
          <w:lang w:val="pl-PL"/>
        </w:rPr>
        <w:t>„</w:t>
      </w:r>
      <w:r>
        <w:rPr>
          <w:rFonts w:cs="Calibri Light" w:ascii="Calibri Light" w:hAnsi="Calibri Light" w:asciiTheme="majorHAnsi" w:cstheme="majorHAnsi" w:hAnsiTheme="majorHAnsi"/>
          <w:b/>
          <w:sz w:val="22"/>
          <w:szCs w:val="22"/>
          <w:lang w:val="pl-PL"/>
        </w:rPr>
        <w:t xml:space="preserve">KOMPLEKSOWA DOSTAWA GAZU ZIEMNEGO WYSOKOMETANOWEGO TYPU E NA POTRZEBY </w:t>
      </w:r>
      <w:r>
        <w:rPr>
          <w:rFonts w:cs="Calibri Light" w:ascii="Calibri Light" w:hAnsi="Calibri Light" w:asciiTheme="majorHAnsi" w:cstheme="majorHAnsi" w:hAnsiTheme="majorHAnsi"/>
          <w:b/>
          <w:bCs/>
          <w:sz w:val="22"/>
          <w:szCs w:val="22"/>
          <w:lang w:val="pl-PL"/>
        </w:rPr>
        <w:t>MEDYCZNEJ SZKOŁY POLICEALNEJ W PRZASNYSZU</w:t>
      </w:r>
      <w:r>
        <w:rPr>
          <w:rFonts w:cs="Calibri Light" w:ascii="Calibri Light" w:hAnsi="Calibri Light" w:asciiTheme="majorHAnsi" w:cstheme="majorHAnsi" w:hAnsiTheme="majorHAnsi"/>
          <w:b/>
          <w:sz w:val="22"/>
          <w:szCs w:val="22"/>
          <w:lang w:val="pl-PL"/>
        </w:rPr>
        <w:t>”.</w:t>
      </w:r>
    </w:p>
    <w:p>
      <w:pPr>
        <w:pStyle w:val="Arimr"/>
        <w:numPr>
          <w:ilvl w:val="0"/>
          <w:numId w:val="2"/>
        </w:numPr>
        <w:tabs>
          <w:tab w:val="clear" w:pos="708"/>
          <w:tab w:val="left" w:pos="-142" w:leader="none"/>
          <w:tab w:val="left" w:pos="142" w:leader="none"/>
        </w:tabs>
        <w:spacing w:lineRule="auto" w:line="276"/>
        <w:ind w:left="-142" w:right="-159" w:hanging="0"/>
        <w:jc w:val="both"/>
        <w:rPr>
          <w:rFonts w:ascii="Calibri Light" w:hAnsi="Calibri Light" w:cs="Calibri Light" w:asciiTheme="majorHAnsi" w:cstheme="majorHAnsi" w:hAnsiTheme="majorHAnsi"/>
          <w:sz w:val="22"/>
          <w:szCs w:val="22"/>
          <w:lang w:val="pl-PL"/>
        </w:rPr>
      </w:pPr>
      <w:r>
        <w:rPr>
          <w:rFonts w:cs="Calibri Light" w:ascii="Calibri Light" w:hAnsi="Calibri Light" w:asciiTheme="majorHAnsi" w:cstheme="majorHAnsi" w:hAnsiTheme="majorHAnsi"/>
          <w:b/>
          <w:sz w:val="22"/>
          <w:szCs w:val="22"/>
          <w:lang w:val="pl-PL"/>
        </w:rPr>
        <w:t xml:space="preserve">Wykonawca </w:t>
      </w:r>
      <w:r>
        <w:rPr>
          <w:rFonts w:cs="Calibri Light" w:ascii="Calibri Light" w:hAnsi="Calibri Light" w:asciiTheme="majorHAnsi" w:cstheme="majorHAnsi" w:hAnsiTheme="majorHAnsi"/>
          <w:sz w:val="22"/>
          <w:szCs w:val="22"/>
          <w:lang w:val="pl-PL"/>
        </w:rPr>
        <w:t>oświadcza, że</w:t>
      </w:r>
      <w:r>
        <w:rPr>
          <w:rFonts w:cs="Calibri Light" w:ascii="Calibri Light" w:hAnsi="Calibri Light" w:asciiTheme="majorHAnsi" w:cstheme="majorHAnsi" w:hAnsiTheme="majorHAnsi"/>
          <w:b/>
          <w:sz w:val="22"/>
          <w:szCs w:val="22"/>
          <w:lang w:val="pl-PL"/>
        </w:rPr>
        <w:t xml:space="preserve"> </w:t>
      </w:r>
      <w:r>
        <w:rPr>
          <w:rFonts w:cs="Calibri Light" w:ascii="Calibri Light" w:hAnsi="Calibri Light" w:asciiTheme="majorHAnsi" w:cstheme="majorHAnsi" w:hAnsiTheme="majorHAnsi"/>
          <w:sz w:val="22"/>
          <w:szCs w:val="22"/>
          <w:lang w:val="pl-PL"/>
        </w:rPr>
        <w:t xml:space="preserve">posiada aktualną koncesję  na prowadzenie działalności gospodarczej </w:t>
        <w:br/>
        <w:t xml:space="preserve">w zakresie obrotu paliwami gazowymi, wydaną przez Prezesa Urzędu Regulacji Energetyki. </w:t>
      </w:r>
    </w:p>
    <w:p>
      <w:pPr>
        <w:pStyle w:val="Arimr"/>
        <w:numPr>
          <w:ilvl w:val="0"/>
          <w:numId w:val="2"/>
        </w:numPr>
        <w:tabs>
          <w:tab w:val="clear" w:pos="708"/>
          <w:tab w:val="left" w:pos="142" w:leader="none"/>
        </w:tabs>
        <w:spacing w:lineRule="auto" w:line="276"/>
        <w:ind w:left="-142" w:right="-159" w:hanging="0"/>
        <w:jc w:val="both"/>
        <w:rPr>
          <w:rFonts w:ascii="Calibri Light" w:hAnsi="Calibri Light" w:cs="Calibri Light" w:asciiTheme="majorHAnsi" w:cstheme="majorHAnsi" w:hAnsiTheme="majorHAnsi"/>
          <w:sz w:val="22"/>
          <w:szCs w:val="22"/>
          <w:lang w:val="pl-PL"/>
        </w:rPr>
      </w:pPr>
      <w:r>
        <w:rPr>
          <w:rFonts w:cs="Calibri Light" w:ascii="Calibri Light" w:hAnsi="Calibri Light" w:asciiTheme="majorHAnsi" w:cstheme="majorHAnsi" w:hAnsiTheme="majorHAnsi"/>
          <w:sz w:val="22"/>
          <w:szCs w:val="22"/>
          <w:lang w:val="pl-PL"/>
        </w:rPr>
        <w:t>Wybrany Wykonawca winien przedstawić Zamawiającemu w terminie do 5 dni od dnia  rozstrzygnięci</w:t>
      </w:r>
      <w:r>
        <w:rPr>
          <w:rFonts w:cs="Calibri Light" w:ascii="Calibri Light" w:hAnsi="Calibri Light" w:asciiTheme="majorHAnsi" w:cstheme="majorHAnsi" w:hAnsiTheme="majorHAnsi"/>
          <w:sz w:val="22"/>
          <w:szCs w:val="22"/>
          <w:lang w:val="pl-PL"/>
        </w:rPr>
        <w:t>a</w:t>
      </w:r>
      <w:r>
        <w:rPr>
          <w:rFonts w:cs="Calibri Light" w:ascii="Calibri Light" w:hAnsi="Calibri Light" w:asciiTheme="majorHAnsi" w:cstheme="majorHAnsi" w:hAnsiTheme="majorHAnsi"/>
          <w:sz w:val="22"/>
          <w:szCs w:val="22"/>
          <w:lang w:val="pl-PL"/>
        </w:rPr>
        <w:t xml:space="preserve"> postępowania wzór Umowy kompleksowej dostawy gazu ziemnego zgodny z </w:t>
      </w:r>
      <w:r>
        <w:rPr>
          <w:rFonts w:cs="Calibri Light" w:ascii="Calibri Light" w:hAnsi="Calibri Light" w:asciiTheme="majorHAnsi" w:cstheme="majorHAnsi" w:hAnsiTheme="majorHAnsi"/>
          <w:bCs/>
          <w:sz w:val="22"/>
          <w:szCs w:val="22"/>
          <w:lang w:val="pl-PL"/>
        </w:rPr>
        <w:t>IRiESD, IRiESP oraz powszechnie obowiązującymi przepisami prawa.</w:t>
      </w:r>
    </w:p>
    <w:p>
      <w:pPr>
        <w:pStyle w:val="Arimr"/>
        <w:numPr>
          <w:ilvl w:val="0"/>
          <w:numId w:val="2"/>
        </w:numPr>
        <w:tabs>
          <w:tab w:val="clear" w:pos="708"/>
          <w:tab w:val="left" w:pos="142" w:leader="none"/>
        </w:tabs>
        <w:spacing w:lineRule="auto" w:line="276"/>
        <w:ind w:left="-142" w:hanging="0"/>
        <w:jc w:val="both"/>
        <w:rPr>
          <w:shd w:fill="auto" w:val="clear"/>
        </w:rPr>
      </w:pPr>
      <w:r>
        <w:rPr>
          <w:rFonts w:cs="Calibri Light" w:ascii="Calibri Light" w:hAnsi="Calibri Light" w:asciiTheme="majorHAnsi" w:cstheme="majorHAnsi" w:hAnsiTheme="majorHAnsi"/>
          <w:sz w:val="22"/>
          <w:szCs w:val="22"/>
          <w:shd w:fill="auto" w:val="clear"/>
          <w:lang w:val="pl-PL"/>
        </w:rPr>
        <w:t>Umowa zostanie zawarta w wyniku postępowania o zamówienie publiczne prowadzonego w oparciu o przepisy ustawy z dnia 11 września 2019 r. Prawo zamówień publicznych (</w:t>
      </w:r>
      <w:r>
        <w:rPr>
          <w:rFonts w:cs="" w:asciiTheme="majorBidi" w:cstheme="majorBidi" w:hAnsiTheme="majorBidi"/>
          <w:i w:val="false"/>
          <w:iCs w:val="false"/>
          <w:color w:val="000000"/>
          <w:sz w:val="22"/>
          <w:szCs w:val="22"/>
          <w:shd w:fill="auto" w:val="clear"/>
          <w:lang w:val="pl-PL"/>
        </w:rPr>
        <w:t>t. j. Dz.U. z 2026 r. poz. 793</w:t>
      </w:r>
      <w:r>
        <w:rPr>
          <w:rFonts w:cs="Calibri Light" w:ascii="Calibri Light" w:hAnsi="Calibri Light" w:asciiTheme="majorHAnsi" w:cstheme="majorHAnsi" w:hAnsiTheme="majorHAnsi"/>
          <w:sz w:val="22"/>
          <w:szCs w:val="22"/>
          <w:shd w:fill="auto" w:val="clear"/>
          <w:lang w:val="pl-PL"/>
        </w:rPr>
        <w:t xml:space="preserve">), zwanej dalej „ustawą Pzp”, w trybie podstawowym bez negocjacji, na podstawie art. 275 pkt 1 ustawy Pzp. </w:t>
      </w:r>
    </w:p>
    <w:p>
      <w:pPr>
        <w:pStyle w:val="Arimr"/>
        <w:numPr>
          <w:ilvl w:val="0"/>
          <w:numId w:val="2"/>
        </w:numPr>
        <w:tabs>
          <w:tab w:val="clear" w:pos="708"/>
          <w:tab w:val="left" w:pos="142" w:leader="none"/>
          <w:tab w:val="left" w:pos="851" w:leader="none"/>
        </w:tabs>
        <w:spacing w:lineRule="auto" w:line="276"/>
        <w:ind w:left="-142" w:hanging="0"/>
        <w:jc w:val="both"/>
        <w:rPr>
          <w:shd w:fill="auto" w:val="clear"/>
        </w:rPr>
      </w:pPr>
      <w:r>
        <w:rPr>
          <w:rFonts w:cs="Calibri Light" w:ascii="Calibri Light" w:hAnsi="Calibri Light" w:asciiTheme="majorHAnsi" w:cstheme="majorHAnsi" w:hAnsiTheme="majorHAnsi"/>
          <w:sz w:val="22"/>
          <w:szCs w:val="22"/>
          <w:shd w:fill="auto" w:val="clear"/>
          <w:lang w:val="pl-PL"/>
        </w:rPr>
        <w:t>Umowa zostanie zawarta na czas określony na okres 36</w:t>
      </w:r>
      <w:r>
        <w:rPr>
          <w:rFonts w:cs="Calibri Light" w:ascii="Calibri Light" w:hAnsi="Calibri Light" w:asciiTheme="majorHAnsi" w:cstheme="majorHAnsi" w:hAnsiTheme="majorHAnsi"/>
          <w:b/>
          <w:bCs/>
          <w:sz w:val="22"/>
          <w:szCs w:val="22"/>
          <w:shd w:fill="auto" w:val="clear"/>
          <w:lang w:val="pl-PL"/>
        </w:rPr>
        <w:t xml:space="preserve"> miesięcy  - </w:t>
      </w:r>
      <w:r>
        <w:rPr>
          <w:rFonts w:cs="Calibri Light" w:ascii="Calibri Light" w:hAnsi="Calibri Light"/>
          <w:bCs/>
          <w:sz w:val="22"/>
          <w:szCs w:val="22"/>
          <w:shd w:fill="auto" w:val="clear"/>
          <w:lang w:val="pl-PL"/>
        </w:rPr>
        <w:t xml:space="preserve">od 01.01.2027 r.  do 31.12.2029 r. </w:t>
      </w:r>
    </w:p>
    <w:p>
      <w:pPr>
        <w:pStyle w:val="Arimr"/>
        <w:numPr>
          <w:ilvl w:val="0"/>
          <w:numId w:val="2"/>
        </w:numPr>
        <w:tabs>
          <w:tab w:val="clear" w:pos="708"/>
          <w:tab w:val="left" w:pos="142" w:leader="none"/>
        </w:tabs>
        <w:spacing w:lineRule="auto" w:line="276"/>
        <w:ind w:left="-142" w:hanging="0"/>
        <w:jc w:val="both"/>
        <w:rPr>
          <w:shd w:fill="auto" w:val="clear"/>
        </w:rPr>
      </w:pPr>
      <w:r>
        <w:rPr>
          <w:rFonts w:cs="Calibri Light" w:ascii="Calibri Light" w:hAnsi="Calibri Light" w:asciiTheme="majorHAnsi" w:cstheme="majorHAnsi" w:hAnsiTheme="majorHAnsi"/>
          <w:sz w:val="22"/>
          <w:szCs w:val="22"/>
          <w:shd w:fill="auto" w:val="clear"/>
          <w:lang w:val="pl-PL"/>
        </w:rPr>
        <w:t xml:space="preserve">Integralną częścią umowy jest oferta Wykonawcy. </w:t>
      </w:r>
    </w:p>
    <w:p>
      <w:pPr>
        <w:pStyle w:val="Arimr"/>
        <w:numPr>
          <w:ilvl w:val="0"/>
          <w:numId w:val="2"/>
        </w:numPr>
        <w:tabs>
          <w:tab w:val="clear" w:pos="708"/>
          <w:tab w:val="left" w:pos="142" w:leader="none"/>
        </w:tabs>
        <w:spacing w:lineRule="auto" w:line="276"/>
        <w:ind w:left="-142" w:hanging="0"/>
        <w:jc w:val="both"/>
        <w:rPr>
          <w:shd w:fill="auto" w:val="clear"/>
        </w:rPr>
      </w:pPr>
      <w:r>
        <w:rPr>
          <w:rFonts w:cs="Calibri Light" w:ascii="Calibri Light" w:hAnsi="Calibri Light" w:asciiTheme="majorHAnsi" w:cstheme="majorHAnsi" w:hAnsiTheme="majorHAnsi"/>
          <w:sz w:val="22"/>
          <w:szCs w:val="22"/>
          <w:shd w:fill="auto" w:val="clear"/>
          <w:lang w:val="pl-PL"/>
        </w:rPr>
        <w:t xml:space="preserve">Oprócz Projektowanych postanowień umowy w sprawie zamówienia publicznego, które zostaną wprowadzone do umowy w sprawie zamówienia publicznego, umowa z Wykonawcą zawierać będzie również elementy wynikające z ustawy z dnia 10 kwietnia 1997 r Prawo energetyczne </w:t>
      </w:r>
      <w:r>
        <w:rPr>
          <w:rFonts w:cs="Calibri Light" w:ascii="Calibri Light" w:hAnsi="Calibri Light"/>
          <w:sz w:val="22"/>
          <w:szCs w:val="22"/>
          <w:shd w:fill="auto" w:val="clear"/>
          <w:lang w:val="pl-PL"/>
        </w:rPr>
        <w:t xml:space="preserve">(: </w:t>
        <w:br/>
      </w:r>
      <w:r>
        <w:rPr>
          <w:rFonts w:cs=""/>
          <w:sz w:val="22"/>
          <w:szCs w:val="22"/>
          <w:shd w:fill="auto" w:val="clear"/>
          <w:lang w:val="pl-PL"/>
        </w:rPr>
        <w:t>t.j. Dz. U. z 2026 r. poz. 43 ze zm.</w:t>
      </w:r>
      <w:r>
        <w:rPr>
          <w:rFonts w:cs="Calibri Light" w:ascii="Calibri Light" w:hAnsi="Calibri Light"/>
          <w:sz w:val="22"/>
          <w:szCs w:val="22"/>
          <w:shd w:fill="auto" w:val="clear"/>
          <w:lang w:val="pl-PL"/>
        </w:rPr>
        <w:t>).</w:t>
      </w:r>
    </w:p>
    <w:p>
      <w:pPr>
        <w:pStyle w:val="Arimr"/>
        <w:numPr>
          <w:ilvl w:val="0"/>
          <w:numId w:val="2"/>
        </w:numPr>
        <w:tabs>
          <w:tab w:val="clear" w:pos="708"/>
          <w:tab w:val="left" w:pos="-142" w:leader="none"/>
          <w:tab w:val="left" w:pos="142" w:leader="none"/>
        </w:tabs>
        <w:spacing w:lineRule="auto" w:line="276"/>
        <w:ind w:left="-142" w:hanging="0"/>
        <w:jc w:val="both"/>
        <w:rPr>
          <w:rFonts w:ascii="Calibri Light" w:hAnsi="Calibri Light" w:cs="Calibri Light" w:asciiTheme="majorHAnsi" w:cstheme="majorHAnsi" w:hAnsiTheme="majorHAnsi"/>
          <w:b/>
          <w:b/>
          <w:sz w:val="22"/>
          <w:szCs w:val="22"/>
          <w:lang w:val="pl-PL"/>
        </w:rPr>
      </w:pPr>
      <w:r>
        <w:rPr>
          <w:rFonts w:eastAsia="SimSun" w:cs="Calibri Light" w:ascii="Calibri Light" w:hAnsi="Calibri Light" w:asciiTheme="majorHAnsi" w:cstheme="majorHAnsi" w:hAnsiTheme="majorHAnsi"/>
          <w:sz w:val="22"/>
          <w:szCs w:val="22"/>
          <w:shd w:fill="auto" w:val="clear"/>
          <w:lang w:val="pl-PL"/>
        </w:rPr>
        <w:t xml:space="preserve">Sprzedaż gazu ziemnego oraz świadczenie usługi przesyłania i dystrybucji odbywa się na warunkach określonych przepisami ustawy z dnia 10 kwietnia 1997 r. Prawo energetyczne </w:t>
      </w:r>
      <w:r>
        <w:rPr>
          <w:rFonts w:cs="Calibri Light" w:ascii="Calibri Light" w:hAnsi="Calibri Light" w:asciiTheme="majorHAnsi" w:cstheme="majorHAnsi" w:hAnsiTheme="majorHAnsi"/>
          <w:sz w:val="22"/>
          <w:szCs w:val="22"/>
          <w:shd w:fill="auto" w:val="clear"/>
          <w:lang w:val="pl-PL"/>
        </w:rPr>
        <w:t>(</w:t>
      </w:r>
      <w:r>
        <w:rPr>
          <w:rFonts w:cs=""/>
          <w:sz w:val="22"/>
          <w:szCs w:val="22"/>
          <w:shd w:fill="auto" w:val="clear"/>
          <w:lang w:val="pl-PL"/>
        </w:rPr>
        <w:t>t.j. Dz. U. z 2026 r. poz. 43 ze zm.</w:t>
      </w:r>
      <w:r>
        <w:rPr>
          <w:rFonts w:cs="Calibri Light" w:ascii="Calibri Light" w:hAnsi="Calibri Light"/>
          <w:sz w:val="22"/>
          <w:szCs w:val="22"/>
          <w:shd w:fill="auto" w:val="clear"/>
          <w:lang w:val="pl-PL"/>
        </w:rPr>
        <w:t>)</w:t>
      </w:r>
      <w:r>
        <w:rPr>
          <w:rFonts w:cs="Calibri Light" w:ascii="Calibri Light" w:hAnsi="Calibri Light" w:asciiTheme="majorHAnsi" w:cstheme="majorHAnsi" w:hAnsiTheme="majorHAnsi"/>
          <w:b/>
          <w:bCs/>
          <w:sz w:val="22"/>
          <w:szCs w:val="22"/>
          <w:shd w:fill="auto" w:val="clear"/>
          <w:lang w:val="pl-PL"/>
        </w:rPr>
        <w:t xml:space="preserve"> </w:t>
      </w:r>
      <w:r>
        <w:rPr>
          <w:rFonts w:eastAsia="SimSun" w:cs="Calibri Light" w:ascii="Calibri Light" w:hAnsi="Calibri Light" w:asciiTheme="majorHAnsi" w:cstheme="majorHAnsi" w:hAnsiTheme="majorHAnsi"/>
          <w:sz w:val="22"/>
          <w:szCs w:val="22"/>
          <w:shd w:fill="auto" w:val="clear"/>
          <w:lang w:val="pl-PL"/>
        </w:rPr>
        <w:t>przepisami Kodeksu Cywilnego, postanowieniami niniejszej Umowy</w:t>
      </w:r>
      <w:r>
        <w:rPr>
          <w:rFonts w:cs="Calibri Light" w:ascii="Calibri Light" w:hAnsi="Calibri Light" w:asciiTheme="majorHAnsi" w:cstheme="majorHAnsi" w:hAnsiTheme="majorHAnsi"/>
          <w:sz w:val="22"/>
          <w:szCs w:val="22"/>
          <w:shd w:fill="auto" w:val="clear"/>
          <w:lang w:val="pl-PL"/>
        </w:rPr>
        <w:t>, zgodnie z Taryfą Operatora Systemu Dystrybucyjnego – PSG Sp. z o.o. dla usług dystrybucji p</w:t>
      </w:r>
      <w:r>
        <w:rPr>
          <w:rFonts w:cs="Calibri Light" w:ascii="Calibri Light" w:hAnsi="Calibri Light" w:asciiTheme="majorHAnsi" w:cstheme="majorHAnsi" w:hAnsiTheme="majorHAnsi"/>
          <w:sz w:val="22"/>
          <w:szCs w:val="22"/>
          <w:lang w:val="pl-PL"/>
        </w:rPr>
        <w:t xml:space="preserve">aliw gazowych i usług regazyfikacji skroplonego gazu dla odpowiedniej grupy taryfowej. </w:t>
      </w:r>
    </w:p>
    <w:p>
      <w:pPr>
        <w:pStyle w:val="ListParagraph"/>
        <w:numPr>
          <w:ilvl w:val="0"/>
          <w:numId w:val="2"/>
        </w:numPr>
        <w:tabs>
          <w:tab w:val="clear" w:pos="708"/>
          <w:tab w:val="left" w:pos="-142" w:leader="none"/>
          <w:tab w:val="left" w:pos="142" w:leader="none"/>
        </w:tabs>
        <w:spacing w:before="144" w:after="0"/>
        <w:ind w:left="-142" w:hanging="0"/>
        <w:contextualSpacing/>
        <w:jc w:val="both"/>
        <w:rPr>
          <w:rFonts w:ascii="Calibri Light" w:hAnsi="Calibri Light" w:cs="Calibri Light" w:asciiTheme="majorHAnsi" w:cstheme="majorHAnsi" w:hAnsiTheme="majorHAnsi"/>
        </w:rPr>
      </w:pPr>
      <w:r>
        <w:rPr>
          <w:rFonts w:eastAsia="SimSun" w:cs="Calibri Light" w:ascii="Calibri Light" w:hAnsi="Calibri Light" w:asciiTheme="majorHAnsi" w:cstheme="majorHAnsi" w:hAnsiTheme="majorHAnsi"/>
        </w:rPr>
        <w:t xml:space="preserve">Wykonawca zobowiązuje się do sprzedaży gazu ziemnego i zapewnia jej dystrybucję do urządzeń </w:t>
        <w:br/>
        <w:t xml:space="preserve">i obiektów Zamawiającego zgodnie z </w:t>
      </w:r>
      <w:r>
        <w:rPr>
          <w:rFonts w:eastAsia="SimSun" w:cs="Calibri Light" w:ascii="Calibri Light" w:hAnsi="Calibri Light" w:asciiTheme="majorHAnsi" w:cstheme="majorHAnsi" w:hAnsiTheme="majorHAnsi"/>
          <w:i/>
        </w:rPr>
        <w:t>Załącznikiem nr 3 SWZ</w:t>
      </w:r>
      <w:r>
        <w:rPr>
          <w:rFonts w:eastAsia="SimSun" w:cs="Calibri Light" w:ascii="Calibri Light" w:hAnsi="Calibri Light" w:asciiTheme="majorHAnsi" w:cstheme="majorHAnsi" w:hAnsiTheme="majorHAnsi"/>
        </w:rPr>
        <w:t xml:space="preserve">. </w:t>
      </w:r>
      <w:r>
        <w:rPr>
          <w:rFonts w:cs="Calibri Light" w:ascii="Calibri Light" w:hAnsi="Calibri Light" w:asciiTheme="majorHAnsi" w:cstheme="majorHAnsi" w:hAnsiTheme="majorHAnsi"/>
        </w:rPr>
        <w:t>Zamawiający oświadcza, że dysponuje tytułem prawnym do korzystania z obiektu, do którego na podstawie Umowy będzie dostarczane Paliwo Gazowe.</w:t>
      </w:r>
    </w:p>
    <w:p>
      <w:pPr>
        <w:pStyle w:val="Arimr"/>
        <w:numPr>
          <w:ilvl w:val="0"/>
          <w:numId w:val="2"/>
        </w:numPr>
        <w:tabs>
          <w:tab w:val="clear" w:pos="708"/>
          <w:tab w:val="left" w:pos="-142" w:leader="none"/>
          <w:tab w:val="left" w:pos="142" w:leader="none"/>
        </w:tabs>
        <w:spacing w:lineRule="auto" w:line="276"/>
        <w:ind w:left="-142" w:hanging="0"/>
        <w:jc w:val="both"/>
        <w:rPr>
          <w:rFonts w:ascii="Calibri Light" w:hAnsi="Calibri Light" w:cs="Calibri Light" w:asciiTheme="majorHAnsi" w:cstheme="majorHAnsi" w:hAnsiTheme="majorHAnsi"/>
          <w:b/>
          <w:b/>
          <w:sz w:val="22"/>
          <w:szCs w:val="22"/>
          <w:lang w:val="pl-PL"/>
        </w:rPr>
      </w:pPr>
      <w:r>
        <w:rPr>
          <w:rFonts w:cs="Calibri Light" w:ascii="Calibri Light" w:hAnsi="Calibri Light" w:asciiTheme="majorHAnsi" w:cstheme="majorHAnsi" w:hAnsiTheme="majorHAnsi"/>
          <w:sz w:val="22"/>
          <w:szCs w:val="22"/>
          <w:lang w:val="pl-PL"/>
        </w:rPr>
        <w:t xml:space="preserve">Wykonawca zobowiązuje się dostarczać paliwo gazowe, gaz ziemny wysokometanowy E o ciśnieniu do 0,5 MPa włącznie do instalacji znajdujących się w obiekcie Zamawiającego wyszczególnionego </w:t>
        <w:br/>
        <w:t xml:space="preserve">w </w:t>
      </w:r>
      <w:r>
        <w:rPr>
          <w:rFonts w:cs="Calibri Light" w:ascii="Calibri Light" w:hAnsi="Calibri Light" w:asciiTheme="majorHAnsi" w:cstheme="majorHAnsi" w:hAnsiTheme="majorHAnsi"/>
          <w:i/>
          <w:sz w:val="22"/>
          <w:szCs w:val="22"/>
          <w:lang w:val="pl-PL"/>
        </w:rPr>
        <w:t>Załączniku nr 3 do SWZ</w:t>
      </w:r>
    </w:p>
    <w:p>
      <w:pPr>
        <w:pStyle w:val="Arimr"/>
        <w:numPr>
          <w:ilvl w:val="0"/>
          <w:numId w:val="2"/>
        </w:numPr>
        <w:tabs>
          <w:tab w:val="clear" w:pos="708"/>
          <w:tab w:val="left" w:pos="142" w:leader="none"/>
        </w:tabs>
        <w:spacing w:lineRule="auto" w:line="276"/>
        <w:ind w:left="-142" w:hanging="0"/>
        <w:jc w:val="both"/>
        <w:rPr>
          <w:rFonts w:ascii="Calibri Light" w:hAnsi="Calibri Light" w:cs="Calibri Light" w:asciiTheme="majorHAnsi" w:cstheme="majorHAnsi" w:hAnsiTheme="majorHAnsi"/>
          <w:b/>
          <w:b/>
          <w:sz w:val="22"/>
          <w:szCs w:val="22"/>
          <w:lang w:val="pl-PL"/>
        </w:rPr>
      </w:pPr>
      <w:r>
        <w:rPr>
          <w:rFonts w:cs="Calibri Light" w:ascii="Calibri Light" w:hAnsi="Calibri Light" w:asciiTheme="majorHAnsi" w:cstheme="majorHAnsi" w:hAnsiTheme="majorHAnsi"/>
          <w:b/>
          <w:sz w:val="22"/>
          <w:szCs w:val="22"/>
          <w:lang w:val="pl-PL"/>
        </w:rPr>
        <w:t xml:space="preserve">Zamawiający </w:t>
      </w:r>
      <w:r>
        <w:rPr>
          <w:rFonts w:cs="Calibri Light" w:ascii="Calibri Light" w:hAnsi="Calibri Light" w:asciiTheme="majorHAnsi" w:cstheme="majorHAnsi" w:hAnsiTheme="majorHAnsi"/>
          <w:bCs/>
          <w:sz w:val="22"/>
          <w:szCs w:val="22"/>
          <w:lang w:val="pl-PL"/>
        </w:rPr>
        <w:t>zawrze jedną umowę wynikającą z niniejszego postępowania o udzielenie zamówienia publicznego</w:t>
      </w:r>
      <w:r>
        <w:rPr>
          <w:rFonts w:cs="Calibri Light" w:ascii="Calibri Light" w:hAnsi="Calibri Light" w:asciiTheme="majorHAnsi" w:cstheme="majorHAnsi" w:hAnsiTheme="majorHAnsi"/>
          <w:b/>
          <w:bCs/>
          <w:sz w:val="22"/>
          <w:szCs w:val="22"/>
          <w:lang w:val="pl-PL"/>
        </w:rPr>
        <w:t>.</w:t>
      </w:r>
    </w:p>
    <w:p>
      <w:pPr>
        <w:pStyle w:val="Arimr"/>
        <w:numPr>
          <w:ilvl w:val="0"/>
          <w:numId w:val="2"/>
        </w:numPr>
        <w:tabs>
          <w:tab w:val="clear" w:pos="708"/>
          <w:tab w:val="left" w:pos="284" w:leader="none"/>
        </w:tabs>
        <w:spacing w:lineRule="auto" w:line="276"/>
        <w:ind w:left="-142" w:hanging="0"/>
        <w:jc w:val="both"/>
        <w:rPr>
          <w:rFonts w:ascii="Calibri Light" w:hAnsi="Calibri Light" w:cs="Calibri Light" w:asciiTheme="majorHAnsi" w:cstheme="majorHAnsi" w:hAnsiTheme="majorHAnsi"/>
          <w:b/>
          <w:b/>
          <w:sz w:val="22"/>
          <w:szCs w:val="22"/>
          <w:lang w:val="pl-PL"/>
        </w:rPr>
      </w:pPr>
      <w:r>
        <w:rPr>
          <w:rFonts w:eastAsia="SimSun" w:cs="Calibri Light" w:ascii="Calibri Light" w:hAnsi="Calibri Light" w:asciiTheme="majorHAnsi" w:cstheme="majorHAnsi" w:hAnsiTheme="majorHAnsi"/>
          <w:sz w:val="22"/>
          <w:szCs w:val="22"/>
          <w:lang w:val="pl-PL"/>
        </w:rPr>
        <w:t>Wykonawca zobowiązuje się do sprzedaży gazu ziemnego z zachowaniem obowiązujących standardów jakościowych, określonych w Taryfie OSD, Prawie energetycznym oraz aktach wykonawczych do tej ustawy.</w:t>
      </w:r>
    </w:p>
    <w:p>
      <w:pPr>
        <w:pStyle w:val="Arimr"/>
        <w:numPr>
          <w:ilvl w:val="0"/>
          <w:numId w:val="2"/>
        </w:numPr>
        <w:tabs>
          <w:tab w:val="clear" w:pos="708"/>
          <w:tab w:val="left" w:pos="993" w:leader="none"/>
        </w:tabs>
        <w:spacing w:lineRule="auto" w:line="276"/>
        <w:ind w:left="142" w:hanging="284"/>
        <w:jc w:val="both"/>
        <w:rPr>
          <w:rFonts w:ascii="Calibri Light" w:hAnsi="Calibri Light" w:cs="Calibri Light" w:asciiTheme="majorHAnsi" w:cstheme="majorHAnsi" w:hAnsiTheme="majorHAnsi"/>
          <w:b/>
          <w:b/>
          <w:sz w:val="22"/>
          <w:szCs w:val="22"/>
          <w:lang w:val="pl-PL"/>
        </w:rPr>
      </w:pPr>
      <w:r>
        <w:rPr>
          <w:rFonts w:eastAsia="SimSun" w:cs="Calibri Light" w:ascii="Calibri Light" w:hAnsi="Calibri Light" w:asciiTheme="majorHAnsi" w:cstheme="majorHAnsi" w:hAnsiTheme="majorHAnsi"/>
          <w:sz w:val="22"/>
          <w:szCs w:val="22"/>
          <w:lang w:val="pl-PL"/>
        </w:rPr>
        <w:t xml:space="preserve">Wykonawca zobowiązuje się zapewnić Zamawiającemu standardy jakości obsługi Zamawiającego </w:t>
        <w:br/>
        <w:t>w zakresie świadczenia usług dystrybucji:</w:t>
      </w:r>
    </w:p>
    <w:p>
      <w:pPr>
        <w:pStyle w:val="Akapitzlist1"/>
        <w:widowControl w:val="false"/>
        <w:numPr>
          <w:ilvl w:val="4"/>
          <w:numId w:val="2"/>
        </w:numPr>
        <w:tabs>
          <w:tab w:val="clear" w:pos="708"/>
          <w:tab w:val="left" w:pos="851" w:leader="none"/>
        </w:tabs>
        <w:spacing w:before="0" w:after="0"/>
        <w:ind w:left="142" w:hanging="284"/>
        <w:contextualSpacing/>
        <w:jc w:val="both"/>
        <w:rPr>
          <w:rFonts w:ascii="Calibri Light" w:hAnsi="Calibri Light" w:eastAsia="SimSun" w:cs="Calibri Light" w:asciiTheme="majorHAnsi" w:cstheme="majorHAnsi" w:hAnsiTheme="majorHAnsi"/>
        </w:rPr>
      </w:pPr>
      <w:r>
        <w:rPr>
          <w:rFonts w:eastAsia="SimSun" w:cs="Calibri Light" w:ascii="Calibri Light" w:hAnsi="Calibri Light" w:asciiTheme="majorHAnsi" w:cstheme="majorHAnsi" w:hAnsiTheme="majorHAnsi"/>
        </w:rPr>
        <w:t>nieodpłatnego udzielania informacji w sprawie rozliczeń oraz aktualnych taryf i zmian przepisów prawa powszechnie obowiązującego w zakresie objętym umową;</w:t>
      </w:r>
    </w:p>
    <w:p>
      <w:pPr>
        <w:pStyle w:val="Akapitzlist1"/>
        <w:widowControl w:val="false"/>
        <w:numPr>
          <w:ilvl w:val="4"/>
          <w:numId w:val="2"/>
        </w:numPr>
        <w:spacing w:before="0" w:after="0"/>
        <w:ind w:left="142" w:hanging="284"/>
        <w:contextualSpacing/>
        <w:jc w:val="both"/>
        <w:rPr>
          <w:rFonts w:ascii="Calibri Light" w:hAnsi="Calibri Light" w:eastAsia="SimSun" w:cs="Calibri Light" w:asciiTheme="majorHAnsi" w:cstheme="majorHAnsi" w:hAnsiTheme="majorHAnsi"/>
        </w:rPr>
      </w:pPr>
      <w:r>
        <w:rPr>
          <w:rFonts w:eastAsia="SimSun" w:cs="Calibri Light" w:ascii="Calibri Light" w:hAnsi="Calibri Light" w:asciiTheme="majorHAnsi" w:cstheme="majorHAnsi" w:hAnsiTheme="majorHAnsi"/>
        </w:rPr>
        <w:t>rozpatrywania wniosków lub reklamacji Zamawiającego w sprawie rozliczeń i udzielania odpowiedzi, nie później niż w terminie 14 dni od dnia złożenia wniosku lub zgłoszenia reklamacji;</w:t>
      </w:r>
    </w:p>
    <w:p>
      <w:pPr>
        <w:pStyle w:val="Akapitzlist1"/>
        <w:widowControl w:val="false"/>
        <w:numPr>
          <w:ilvl w:val="0"/>
          <w:numId w:val="2"/>
        </w:numPr>
        <w:tabs>
          <w:tab w:val="clear" w:pos="708"/>
          <w:tab w:val="left" w:pos="284" w:leader="none"/>
          <w:tab w:val="left" w:pos="426" w:leader="none"/>
        </w:tabs>
        <w:spacing w:before="0" w:after="0"/>
        <w:ind w:left="-142" w:hanging="0"/>
        <w:contextualSpacing/>
        <w:jc w:val="both"/>
        <w:rPr>
          <w:rFonts w:ascii="Calibri Light" w:hAnsi="Calibri Light" w:eastAsia="SimSun" w:cs="Calibri Light" w:asciiTheme="majorHAnsi" w:cstheme="majorHAnsi" w:hAnsiTheme="majorHAnsi"/>
        </w:rPr>
      </w:pPr>
      <w:r>
        <w:rPr>
          <w:rFonts w:cs="Calibri Light" w:ascii="Calibri Light" w:hAnsi="Calibri Light" w:asciiTheme="majorHAnsi" w:cstheme="majorHAnsi" w:hAnsiTheme="majorHAnsi"/>
        </w:rPr>
        <w:t xml:space="preserve"> </w:t>
      </w:r>
      <w:r>
        <w:rPr>
          <w:rFonts w:cs="Calibri Light" w:ascii="Calibri Light" w:hAnsi="Calibri Light" w:asciiTheme="majorHAnsi" w:cstheme="majorHAnsi" w:hAnsiTheme="majorHAnsi"/>
        </w:rPr>
        <w:t>Zamawiający zobowiązuje się, że będzie nabywał i odbierał od Sprzedawcy Paliwo Gazowe na cele określone w „Oświadczeniu Odbiorcy o przeznaczeniu Paliwa Gazowego na potrzeby naliczania podatku akcyzowego”, które będzie stanowiło Załącznik do Umowy.  Szkoła jako jednostka budżetowa jest zwolniona z naliczania podatku akcyzowego.</w:t>
      </w:r>
    </w:p>
    <w:p>
      <w:pPr>
        <w:pStyle w:val="ListParagraph"/>
        <w:numPr>
          <w:ilvl w:val="0"/>
          <w:numId w:val="2"/>
        </w:numPr>
        <w:tabs>
          <w:tab w:val="clear" w:pos="708"/>
          <w:tab w:val="left" w:pos="284" w:leader="none"/>
        </w:tabs>
        <w:spacing w:before="144" w:after="0"/>
        <w:ind w:left="-142" w:hanging="0"/>
        <w:contextualSpacing/>
        <w:jc w:val="both"/>
        <w:rPr>
          <w:rFonts w:ascii="Calibri Light" w:hAnsi="Calibri Light" w:cs="Calibri Light" w:asciiTheme="majorHAnsi" w:cstheme="majorHAnsi" w:hAnsiTheme="majorHAnsi"/>
        </w:rPr>
      </w:pPr>
      <w:r>
        <w:rPr>
          <w:rFonts w:cs="Calibri Light" w:ascii="Calibri Light" w:hAnsi="Calibri Light" w:asciiTheme="majorHAnsi" w:cstheme="majorHAnsi" w:hAnsiTheme="majorHAnsi"/>
        </w:rPr>
        <w:t>Zamawiający przekaże wybranemu Wykonawcy dane niezbędne do skutecznego przeprowadzenia procedury zmiany sprzedawcy Paliwa gazowego oraz udzieli Wykonawcy pisemnego pełnomocnictwa do jej przeprowadzenia.</w:t>
      </w:r>
    </w:p>
    <w:p>
      <w:pPr>
        <w:pStyle w:val="ListParagraph"/>
        <w:spacing w:before="144" w:after="0"/>
        <w:ind w:left="-142" w:hanging="0"/>
        <w:contextualSpacing/>
        <w:jc w:val="both"/>
        <w:rPr>
          <w:rFonts w:ascii="Calibri Light" w:hAnsi="Calibri Light" w:cs="Calibri Light" w:asciiTheme="majorHAnsi" w:cstheme="majorHAnsi" w:hAnsiTheme="majorHAnsi"/>
        </w:rPr>
      </w:pPr>
      <w:r>
        <w:rPr>
          <w:rFonts w:cs="Calibri Light" w:cstheme="majorHAnsi" w:ascii="Calibri Light" w:hAnsi="Calibri Light"/>
        </w:rPr>
      </w:r>
    </w:p>
    <w:p>
      <w:pPr>
        <w:pStyle w:val="ListParagraph"/>
        <w:widowControl w:val="false"/>
        <w:numPr>
          <w:ilvl w:val="0"/>
          <w:numId w:val="9"/>
        </w:numPr>
        <w:tabs>
          <w:tab w:val="clear" w:pos="708"/>
          <w:tab w:val="left" w:pos="284" w:leader="none"/>
        </w:tabs>
        <w:spacing w:before="0" w:after="0"/>
        <w:ind w:left="0" w:hanging="142"/>
        <w:contextualSpacing/>
        <w:jc w:val="both"/>
        <w:rPr>
          <w:rFonts w:ascii="Calibri Light" w:hAnsi="Calibri Light" w:cs="Calibri Light" w:asciiTheme="majorHAnsi" w:cstheme="majorHAnsi" w:hAnsiTheme="majorHAnsi"/>
          <w:b/>
          <w:b/>
        </w:rPr>
      </w:pPr>
      <w:r>
        <w:rPr>
          <w:rFonts w:cs="Calibri Light" w:ascii="Calibri Light" w:hAnsi="Calibri Light" w:asciiTheme="majorHAnsi" w:cstheme="majorHAnsi" w:hAnsiTheme="majorHAnsi"/>
          <w:b/>
        </w:rPr>
        <w:t>Termin realizacji zamówienia.</w:t>
      </w:r>
    </w:p>
    <w:p>
      <w:pPr>
        <w:pStyle w:val="ListParagraph"/>
        <w:widowControl w:val="false"/>
        <w:tabs>
          <w:tab w:val="clear" w:pos="708"/>
          <w:tab w:val="left" w:pos="284" w:leader="none"/>
        </w:tabs>
        <w:spacing w:before="0" w:after="0"/>
        <w:ind w:left="0" w:hanging="0"/>
        <w:contextualSpacing/>
        <w:jc w:val="both"/>
        <w:rPr>
          <w:rFonts w:ascii="Calibri Light" w:hAnsi="Calibri Light" w:cs="Calibri Light" w:asciiTheme="majorHAnsi" w:cstheme="majorHAnsi" w:hAnsiTheme="majorHAnsi"/>
          <w:b/>
          <w:b/>
          <w:shd w:fill="auto" w:val="clear"/>
        </w:rPr>
      </w:pPr>
      <w:r>
        <w:rPr>
          <w:rFonts w:cs="Calibri Light" w:cstheme="majorHAnsi" w:ascii="Calibri Light" w:hAnsi="Calibri Light"/>
          <w:b/>
          <w:shd w:fill="auto" w:val="clear"/>
        </w:rPr>
      </w:r>
    </w:p>
    <w:p>
      <w:pPr>
        <w:pStyle w:val="Normal"/>
        <w:numPr>
          <w:ilvl w:val="0"/>
          <w:numId w:val="3"/>
        </w:numPr>
        <w:tabs>
          <w:tab w:val="clear" w:pos="708"/>
          <w:tab w:val="left" w:pos="142" w:leader="none"/>
        </w:tabs>
        <w:spacing w:lineRule="auto" w:line="276"/>
        <w:ind w:left="-142" w:hanging="0"/>
        <w:jc w:val="both"/>
        <w:rPr>
          <w:shd w:fill="auto" w:val="clear"/>
        </w:rPr>
      </w:pPr>
      <w:r>
        <w:rPr>
          <w:rFonts w:cs="Calibri Light" w:ascii="Calibri Light" w:hAnsi="Calibri Light" w:asciiTheme="majorHAnsi" w:cstheme="majorHAnsi" w:hAnsiTheme="majorHAnsi"/>
          <w:sz w:val="22"/>
          <w:szCs w:val="22"/>
          <w:shd w:fill="auto" w:val="clear"/>
        </w:rPr>
        <w:t>Wymagany termin realizacji przedmiotu zamówienia: przez okres 36 miesięcy. Dostawa gazu jest dostawą ciągłą i musi być nieprzerwana – zgodnie z załącznikiem nr 3 do SWZ.</w:t>
      </w:r>
    </w:p>
    <w:p>
      <w:pPr>
        <w:pStyle w:val="ListParagraph"/>
        <w:numPr>
          <w:ilvl w:val="0"/>
          <w:numId w:val="3"/>
        </w:numPr>
        <w:tabs>
          <w:tab w:val="clear" w:pos="708"/>
          <w:tab w:val="left" w:pos="142" w:leader="none"/>
        </w:tabs>
        <w:spacing w:before="0" w:after="0"/>
        <w:ind w:left="-142" w:hanging="0"/>
        <w:contextualSpacing/>
        <w:jc w:val="both"/>
        <w:rPr>
          <w:shd w:fill="auto" w:val="clear"/>
        </w:rPr>
      </w:pPr>
      <w:r>
        <w:rPr>
          <w:rFonts w:cs="Calibri Light" w:ascii="Calibri Light" w:hAnsi="Calibri Light" w:asciiTheme="majorHAnsi" w:cstheme="majorHAnsi" w:hAnsiTheme="majorHAnsi"/>
          <w:shd w:fill="auto" w:val="clear"/>
        </w:rPr>
        <w:t>Wykonawca zapewni kompleksową dostawę zamówionego gazu ziemnego przez cały czas obowiązywania Umowy kompleksowej, począwszy od dnia wskazanego w zgłoszeniu zmiany sprzedawcy, w sposób ciągły i niezakłócony do wszystkich punktów poboru wskazanych przez Zamawiającego jednocześnie z zastrzeżeniem zapisów Obwieszczenie Ministra Energii z dnia 16 maja 2018 r. w sprawie ogłoszenia jednolitego tekstu rozporządzenia Ministra Gospodarki w sprawie szczegółowych warunków funkcjonowania systemu gazowego</w:t>
      </w:r>
      <w:r>
        <w:rPr>
          <w:rFonts w:cs="Calibri Light" w:ascii="Calibri Light" w:hAnsi="Calibri Light" w:asciiTheme="majorHAnsi" w:cstheme="majorHAnsi" w:hAnsiTheme="majorHAnsi"/>
          <w:b/>
          <w:bCs/>
          <w:shd w:fill="auto" w:val="clear"/>
        </w:rPr>
        <w:t>.</w:t>
      </w:r>
    </w:p>
    <w:p>
      <w:pPr>
        <w:pStyle w:val="ListParagraph"/>
        <w:numPr>
          <w:ilvl w:val="0"/>
          <w:numId w:val="3"/>
        </w:numPr>
        <w:tabs>
          <w:tab w:val="clear" w:pos="708"/>
          <w:tab w:val="left" w:pos="142" w:leader="none"/>
        </w:tabs>
        <w:spacing w:before="0" w:after="0"/>
        <w:ind w:left="-142" w:hanging="0"/>
        <w:contextualSpacing/>
        <w:jc w:val="both"/>
        <w:rPr>
          <w:shd w:fill="auto" w:val="clear"/>
        </w:rPr>
      </w:pPr>
      <w:r>
        <w:rPr>
          <w:rFonts w:cs="Calibri Light" w:ascii="Calibri Light" w:hAnsi="Calibri Light" w:asciiTheme="majorHAnsi" w:cstheme="majorHAnsi" w:hAnsiTheme="majorHAnsi"/>
          <w:shd w:fill="auto" w:val="clear"/>
        </w:rPr>
        <w:t>Świadczenie usługi kompleksowej nastąpi nie wcześniej niż z dniem rozpoczęcia świadczenia usługi dystrybucji przez OSD w ramach danej umowy.</w:t>
      </w:r>
    </w:p>
    <w:p>
      <w:pPr>
        <w:pStyle w:val="ListParagraph"/>
        <w:numPr>
          <w:ilvl w:val="0"/>
          <w:numId w:val="3"/>
        </w:numPr>
        <w:tabs>
          <w:tab w:val="clear" w:pos="708"/>
          <w:tab w:val="left" w:pos="142" w:leader="none"/>
        </w:tabs>
        <w:spacing w:before="0" w:after="0"/>
        <w:ind w:left="-142" w:hanging="0"/>
        <w:contextualSpacing/>
        <w:jc w:val="both"/>
        <w:rPr>
          <w:shd w:fill="auto" w:val="clear"/>
        </w:rPr>
      </w:pPr>
      <w:r>
        <w:rPr>
          <w:rFonts w:cs="Calibri Light" w:ascii="Calibri Light" w:hAnsi="Calibri Light" w:asciiTheme="majorHAnsi" w:cstheme="majorHAnsi" w:hAnsiTheme="majorHAnsi"/>
          <w:shd w:fill="auto" w:val="clear"/>
        </w:rPr>
        <w:t xml:space="preserve">Z przyczyn formalno-prawnych, Zamawiający dopuszcza zmianę terminu rozpoczęcia wykonania zamówienia z zastrzeżeniem granicznego terminu wykonania zamówienia do 31.12.2029 r., jednak nie wcześniej niż po skutecznym rozwiązaniu umowy, na podstawie której dotychczas Zamawiający miał dostarczane paliwo gazowe oraz skutecznym przeprowadzeniu procesu zmiany sprzedawcy u Operatora Systemu Dystrybucyjnego. </w:t>
      </w:r>
    </w:p>
    <w:p>
      <w:pPr>
        <w:pStyle w:val="Normal"/>
        <w:spacing w:lineRule="auto" w:line="276"/>
        <w:jc w:val="both"/>
        <w:rPr>
          <w:rFonts w:ascii="Calibri Light" w:hAnsi="Calibri Light" w:cs="Calibri Light" w:asciiTheme="majorHAnsi" w:cstheme="majorHAnsi" w:hAnsiTheme="majorHAnsi"/>
          <w:b/>
          <w:b/>
          <w:sz w:val="22"/>
          <w:szCs w:val="22"/>
        </w:rPr>
      </w:pPr>
      <w:r>
        <w:rPr>
          <w:rFonts w:cs="Calibri Light" w:cstheme="majorHAnsi" w:ascii="Calibri Light" w:hAnsi="Calibri Light"/>
          <w:b/>
          <w:sz w:val="22"/>
          <w:szCs w:val="22"/>
        </w:rPr>
      </w:r>
    </w:p>
    <w:p>
      <w:pPr>
        <w:pStyle w:val="ListParagraph"/>
        <w:numPr>
          <w:ilvl w:val="0"/>
          <w:numId w:val="9"/>
        </w:numPr>
        <w:spacing w:before="0" w:after="0"/>
        <w:ind w:left="142" w:hanging="284"/>
        <w:contextualSpacing/>
        <w:rPr>
          <w:rFonts w:ascii="Calibri Light" w:hAnsi="Calibri Light" w:cs="Calibri Light" w:asciiTheme="majorHAnsi" w:cstheme="majorHAnsi" w:hAnsiTheme="majorHAnsi"/>
          <w:b/>
          <w:b/>
        </w:rPr>
      </w:pPr>
      <w:r>
        <w:rPr>
          <w:rFonts w:cs="Calibri Light" w:ascii="Calibri Light" w:hAnsi="Calibri Light" w:asciiTheme="majorHAnsi" w:cstheme="majorHAnsi" w:hAnsiTheme="majorHAnsi"/>
          <w:b/>
        </w:rPr>
        <w:t>Rozliczenia.</w:t>
      </w:r>
    </w:p>
    <w:p>
      <w:pPr>
        <w:pStyle w:val="Normal"/>
        <w:spacing w:lineRule="auto" w:line="276"/>
        <w:rPr>
          <w:rFonts w:ascii="Calibri Light" w:hAnsi="Calibri Light" w:cs="Calibri Light" w:asciiTheme="majorHAnsi" w:cstheme="majorHAnsi" w:hAnsiTheme="majorHAnsi"/>
          <w:b/>
          <w:b/>
          <w:sz w:val="22"/>
          <w:szCs w:val="22"/>
        </w:rPr>
      </w:pPr>
      <w:r>
        <w:rPr>
          <w:rFonts w:cs="Calibri Light" w:cstheme="majorHAnsi" w:ascii="Calibri Light" w:hAnsi="Calibri Light"/>
          <w:b/>
          <w:sz w:val="22"/>
          <w:szCs w:val="22"/>
        </w:rPr>
      </w:r>
    </w:p>
    <w:p>
      <w:pPr>
        <w:pStyle w:val="ListParagraph"/>
        <w:numPr>
          <w:ilvl w:val="0"/>
          <w:numId w:val="5"/>
        </w:numPr>
        <w:tabs>
          <w:tab w:val="clear" w:pos="708"/>
          <w:tab w:val="left" w:pos="142" w:leader="none"/>
          <w:tab w:val="left" w:pos="284" w:leader="none"/>
        </w:tabs>
        <w:spacing w:before="144" w:after="0"/>
        <w:ind w:left="-142" w:hanging="0"/>
        <w:contextualSpacing/>
        <w:jc w:val="both"/>
        <w:rPr>
          <w:rFonts w:ascii="Calibri Light" w:hAnsi="Calibri Light" w:cs="Calibri Light" w:asciiTheme="majorHAnsi" w:cstheme="majorHAnsi" w:hAnsiTheme="majorHAnsi"/>
        </w:rPr>
      </w:pPr>
      <w:r>
        <w:rPr>
          <w:rFonts w:cs="Calibri Light" w:ascii="Calibri Light" w:hAnsi="Calibri Light" w:asciiTheme="majorHAnsi" w:cstheme="majorHAnsi" w:hAnsiTheme="majorHAnsi"/>
          <w:sz w:val="22"/>
          <w:szCs w:val="22"/>
        </w:rPr>
        <w:t>F</w:t>
      </w:r>
      <w:r>
        <w:rPr>
          <w:rFonts w:cs="Calibri"/>
          <w:sz w:val="22"/>
          <w:szCs w:val="22"/>
        </w:rPr>
        <w:t xml:space="preserve">aktury będą wystawiane </w:t>
      </w:r>
      <w:r>
        <w:rPr>
          <w:rFonts w:cs="Calibri Light" w:ascii="Calibri Light" w:hAnsi="Calibri Light" w:asciiTheme="majorHAnsi" w:cstheme="majorHAnsi" w:hAnsiTheme="majorHAnsi"/>
          <w:sz w:val="22"/>
          <w:szCs w:val="22"/>
        </w:rPr>
        <w:t>na podstawie danych pomiarowo–rozliczeniowych przekazanych Wykonawcy przez OSD</w:t>
      </w:r>
      <w:r>
        <w:rPr>
          <w:rFonts w:cs="Calibri"/>
          <w:sz w:val="22"/>
          <w:szCs w:val="22"/>
        </w:rPr>
        <w:t xml:space="preserve"> i doręczane przy użyciu Krajowego Systemu e-Faktur z uwzględnieniem postanowień niniejszego paragrafu.</w:t>
      </w:r>
    </w:p>
    <w:p>
      <w:pPr>
        <w:pStyle w:val="ListParagraph"/>
        <w:numPr>
          <w:ilvl w:val="0"/>
          <w:numId w:val="5"/>
        </w:numPr>
        <w:tabs>
          <w:tab w:val="clear" w:pos="708"/>
          <w:tab w:val="left" w:pos="142" w:leader="none"/>
        </w:tabs>
        <w:spacing w:before="0" w:after="0"/>
        <w:ind w:left="-142" w:hanging="0"/>
        <w:contextualSpacing/>
        <w:jc w:val="both"/>
        <w:rPr>
          <w:rFonts w:ascii="Calibri Light" w:hAnsi="Calibri Light" w:eastAsia="SimSun" w:cs="Calibri Light" w:asciiTheme="majorHAnsi" w:cstheme="majorHAnsi" w:hAnsiTheme="majorHAnsi"/>
        </w:rPr>
      </w:pPr>
      <w:r>
        <w:rPr>
          <w:rFonts w:cs="Calibri"/>
          <w:sz w:val="22"/>
          <w:szCs w:val="22"/>
        </w:rPr>
        <w:t>Zapłata wynagrodzenia przez Zamawiającego na rzecz Wykonawcy będzie następować na podstawie prawidłowo wystawionej i doręczonej faktury ustrukturyzowanej, z zastrzeżeniem pkt. 7. Wykonawca przyjmuje do wiadomości i akceptuje, że wyłącznie faktury ustrukturyzowane wystawione w sposób uwzględniający postanowienia niniejszego paragrafu będą uznawane za doręczone Zamawiającemu i będą stanowić podstawę dokonania zapłaty wynagrodzenia przez Wykonawcę.</w:t>
      </w:r>
    </w:p>
    <w:p>
      <w:pPr>
        <w:pStyle w:val="ListParagraph"/>
        <w:numPr>
          <w:ilvl w:val="0"/>
          <w:numId w:val="5"/>
        </w:numPr>
        <w:tabs>
          <w:tab w:val="clear" w:pos="708"/>
          <w:tab w:val="left" w:pos="142" w:leader="none"/>
        </w:tabs>
        <w:spacing w:before="0" w:after="0"/>
        <w:ind w:left="-142" w:hanging="0"/>
        <w:contextualSpacing/>
        <w:jc w:val="both"/>
        <w:rPr>
          <w:rFonts w:ascii="Calibri Light" w:hAnsi="Calibri Light" w:eastAsia="SimSun" w:cs="Calibri Light" w:asciiTheme="majorHAnsi" w:cstheme="majorHAnsi" w:hAnsiTheme="majorHAnsi"/>
        </w:rPr>
      </w:pPr>
      <w:r>
        <w:rPr>
          <w:rFonts w:cs="Calibri"/>
          <w:sz w:val="22"/>
          <w:szCs w:val="22"/>
        </w:rPr>
        <w:t>Faktury ustrukturyzowane wystawiane przez Wykonawcę będą zawierać następujące dane Zamawiającego (w ramach struktury logicznej faktury ustrukturyzowanej):</w:t>
      </w:r>
    </w:p>
    <w:p>
      <w:pPr>
        <w:pStyle w:val="ListParagraph"/>
        <w:numPr>
          <w:ilvl w:val="0"/>
          <w:numId w:val="0"/>
        </w:numPr>
        <w:tabs>
          <w:tab w:val="clear" w:pos="708"/>
          <w:tab w:val="left" w:pos="142" w:leader="none"/>
        </w:tabs>
        <w:spacing w:before="0" w:after="0"/>
        <w:ind w:left="2738" w:hanging="0"/>
        <w:contextualSpacing/>
        <w:jc w:val="both"/>
        <w:rPr>
          <w:rFonts w:ascii="Calibri Light" w:hAnsi="Calibri Light" w:eastAsia="SimSun" w:cs="Calibri Light" w:asciiTheme="majorHAnsi" w:cstheme="majorHAnsi" w:hAnsiTheme="majorHAnsi"/>
        </w:rPr>
      </w:pPr>
      <w:r>
        <w:rPr>
          <w:rFonts w:eastAsia="SimSun" w:cs="Calibri Light" w:ascii="Calibri Light" w:hAnsi="Calibri Light" w:asciiTheme="majorHAnsi" w:cstheme="majorHAnsi" w:hAnsiTheme="majorHAnsi"/>
          <w:sz w:val="22"/>
          <w:szCs w:val="22"/>
        </w:rPr>
        <w:t>Sekcja danych:</w:t>
      </w:r>
    </w:p>
    <w:p>
      <w:pPr>
        <w:pStyle w:val="ListParagraph"/>
        <w:numPr>
          <w:ilvl w:val="0"/>
          <w:numId w:val="0"/>
        </w:numPr>
        <w:spacing w:lineRule="auto" w:line="276" w:before="0" w:after="0"/>
        <w:ind w:left="782" w:right="0" w:hanging="0"/>
        <w:contextualSpacing/>
        <w:jc w:val="both"/>
        <w:rPr>
          <w:rFonts w:ascii="Calibri" w:hAnsi="Calibri"/>
          <w:sz w:val="22"/>
          <w:szCs w:val="22"/>
        </w:rPr>
      </w:pPr>
      <w:r>
        <w:rPr>
          <w:rFonts w:cs="Calibri"/>
          <w:sz w:val="22"/>
          <w:szCs w:val="22"/>
        </w:rPr>
        <w:t>a) w polu „Podmiot2”:</w:t>
      </w:r>
    </w:p>
    <w:p>
      <w:pPr>
        <w:pStyle w:val="Normal"/>
        <w:widowControl/>
        <w:suppressAutoHyphens w:val="true"/>
        <w:bidi w:val="0"/>
        <w:spacing w:lineRule="auto" w:line="276" w:before="0" w:after="0"/>
        <w:ind w:left="397" w:right="0" w:hanging="0"/>
        <w:jc w:val="both"/>
        <w:rPr>
          <w:rFonts w:ascii="Calibri" w:hAnsi="Calibri"/>
          <w:sz w:val="22"/>
          <w:szCs w:val="22"/>
        </w:rPr>
      </w:pPr>
      <w:r>
        <w:rPr>
          <w:rFonts w:cs="Calibri" w:ascii="Calibri" w:hAnsi="Calibri"/>
          <w:sz w:val="22"/>
          <w:szCs w:val="22"/>
        </w:rPr>
        <w:t xml:space="preserve">nazwa: </w:t>
      </w:r>
      <w:r>
        <w:rPr>
          <w:rFonts w:cs="Calibri" w:ascii="Calibri" w:hAnsi="Calibri"/>
          <w:b/>
          <w:bCs/>
          <w:sz w:val="22"/>
          <w:szCs w:val="22"/>
        </w:rPr>
        <w:t>Województwo Mazowieckie</w:t>
      </w:r>
    </w:p>
    <w:p>
      <w:pPr>
        <w:pStyle w:val="Normal"/>
        <w:widowControl/>
        <w:suppressAutoHyphens w:val="true"/>
        <w:bidi w:val="0"/>
        <w:spacing w:lineRule="auto" w:line="276" w:before="0" w:after="0"/>
        <w:ind w:left="397" w:right="0" w:hanging="0"/>
        <w:jc w:val="both"/>
        <w:rPr>
          <w:rFonts w:ascii="Calibri" w:hAnsi="Calibri"/>
          <w:sz w:val="22"/>
          <w:szCs w:val="22"/>
        </w:rPr>
      </w:pPr>
      <w:r>
        <w:rPr>
          <w:rFonts w:cs="Calibri" w:ascii="Calibri" w:hAnsi="Calibri"/>
          <w:sz w:val="22"/>
          <w:szCs w:val="22"/>
        </w:rPr>
        <w:t xml:space="preserve">NIP nabywcy: </w:t>
      </w:r>
      <w:r>
        <w:rPr>
          <w:rFonts w:cs="Calibri" w:ascii="Calibri" w:hAnsi="Calibri"/>
          <w:b/>
          <w:bCs/>
          <w:sz w:val="22"/>
          <w:szCs w:val="22"/>
        </w:rPr>
        <w:t>1132453940</w:t>
      </w:r>
    </w:p>
    <w:p>
      <w:pPr>
        <w:pStyle w:val="Normal"/>
        <w:widowControl/>
        <w:suppressAutoHyphens w:val="true"/>
        <w:bidi w:val="0"/>
        <w:spacing w:lineRule="auto" w:line="276" w:before="0" w:after="0"/>
        <w:ind w:left="397" w:right="0" w:hanging="0"/>
        <w:jc w:val="both"/>
        <w:rPr>
          <w:rFonts w:ascii="Calibri" w:hAnsi="Calibri"/>
          <w:sz w:val="22"/>
          <w:szCs w:val="22"/>
        </w:rPr>
      </w:pPr>
      <w:r>
        <w:rPr>
          <w:rFonts w:cs="Calibri" w:ascii="Calibri" w:hAnsi="Calibri"/>
          <w:sz w:val="22"/>
          <w:szCs w:val="22"/>
        </w:rPr>
        <w:t xml:space="preserve">adres nabywcy: </w:t>
      </w:r>
      <w:r>
        <w:rPr>
          <w:rFonts w:cs="Calibri" w:ascii="Calibri" w:hAnsi="Calibri"/>
          <w:b/>
          <w:bCs/>
          <w:sz w:val="22"/>
          <w:szCs w:val="22"/>
        </w:rPr>
        <w:t xml:space="preserve">ul. Jagiellońska 26, 03-719 Warszawa, </w:t>
      </w:r>
    </w:p>
    <w:p>
      <w:pPr>
        <w:pStyle w:val="Normal"/>
        <w:widowControl/>
        <w:suppressAutoHyphens w:val="true"/>
        <w:bidi w:val="0"/>
        <w:spacing w:lineRule="auto" w:line="276" w:before="0" w:after="0"/>
        <w:ind w:left="397" w:right="0" w:hanging="0"/>
        <w:jc w:val="both"/>
        <w:rPr>
          <w:rFonts w:ascii="Calibri" w:hAnsi="Calibri"/>
          <w:sz w:val="22"/>
          <w:szCs w:val="22"/>
        </w:rPr>
      </w:pPr>
      <w:r>
        <w:rPr>
          <w:rFonts w:cs="Calibri" w:ascii="Calibri" w:hAnsi="Calibri"/>
          <w:sz w:val="22"/>
          <w:szCs w:val="22"/>
        </w:rPr>
        <w:t xml:space="preserve">        </w:t>
      </w:r>
      <w:r>
        <w:rPr>
          <w:rFonts w:cs="Calibri" w:ascii="Calibri" w:hAnsi="Calibri"/>
          <w:sz w:val="22"/>
          <w:szCs w:val="22"/>
        </w:rPr>
        <w:t>b) w polu „Podmiot3”:</w:t>
      </w:r>
    </w:p>
    <w:p>
      <w:pPr>
        <w:pStyle w:val="Normal"/>
        <w:widowControl/>
        <w:suppressAutoHyphens w:val="true"/>
        <w:bidi w:val="0"/>
        <w:spacing w:lineRule="auto" w:line="276" w:before="0" w:after="0"/>
        <w:ind w:left="397" w:right="0" w:hanging="0"/>
        <w:jc w:val="both"/>
        <w:rPr>
          <w:rFonts w:ascii="Calibri" w:hAnsi="Calibri"/>
          <w:sz w:val="22"/>
          <w:szCs w:val="22"/>
        </w:rPr>
      </w:pPr>
      <w:r>
        <w:rPr>
          <w:rFonts w:cs="Calibri"/>
          <w:sz w:val="22"/>
          <w:szCs w:val="22"/>
        </w:rPr>
        <w:t xml:space="preserve">nazwa: </w:t>
      </w:r>
      <w:r>
        <w:rPr>
          <w:rFonts w:cs="Calibri"/>
          <w:b/>
          <w:bCs/>
          <w:sz w:val="22"/>
          <w:szCs w:val="22"/>
        </w:rPr>
        <w:t>Medyczna Szkoła Policealna w Przasnyszu</w:t>
      </w:r>
    </w:p>
    <w:p>
      <w:pPr>
        <w:pStyle w:val="Normal"/>
        <w:widowControl/>
        <w:suppressAutoHyphens w:val="true"/>
        <w:bidi w:val="0"/>
        <w:spacing w:lineRule="auto" w:line="276" w:before="0" w:after="0"/>
        <w:ind w:left="397" w:right="0" w:hanging="0"/>
        <w:jc w:val="both"/>
        <w:rPr>
          <w:rFonts w:ascii="Calibri" w:hAnsi="Calibri"/>
          <w:sz w:val="22"/>
          <w:szCs w:val="22"/>
        </w:rPr>
      </w:pPr>
      <w:r>
        <w:rPr>
          <w:rFonts w:cs="Calibri" w:ascii="Calibri" w:hAnsi="Calibri"/>
          <w:sz w:val="22"/>
          <w:szCs w:val="22"/>
        </w:rPr>
        <w:t xml:space="preserve">NIP odbiorcy: </w:t>
      </w:r>
      <w:r>
        <w:rPr>
          <w:rFonts w:cs="Calibri" w:ascii="Calibri" w:hAnsi="Calibri"/>
          <w:b/>
          <w:bCs/>
          <w:sz w:val="22"/>
          <w:szCs w:val="22"/>
        </w:rPr>
        <w:t>7581231040</w:t>
      </w:r>
    </w:p>
    <w:p>
      <w:pPr>
        <w:pStyle w:val="Normal"/>
        <w:widowControl/>
        <w:suppressAutoHyphens w:val="true"/>
        <w:bidi w:val="0"/>
        <w:spacing w:lineRule="auto" w:line="276" w:before="0" w:after="0"/>
        <w:ind w:left="397" w:right="0" w:hanging="0"/>
        <w:jc w:val="both"/>
        <w:rPr>
          <w:rFonts w:ascii="Calibri" w:hAnsi="Calibri"/>
          <w:sz w:val="22"/>
          <w:szCs w:val="22"/>
        </w:rPr>
      </w:pPr>
      <w:r>
        <w:rPr>
          <w:rFonts w:cs="Calibri" w:ascii="Calibri" w:hAnsi="Calibri"/>
          <w:sz w:val="22"/>
          <w:szCs w:val="22"/>
        </w:rPr>
        <w:t xml:space="preserve">adres: </w:t>
      </w:r>
      <w:r>
        <w:rPr>
          <w:rFonts w:cs="Calibri" w:ascii="Calibri" w:hAnsi="Calibri"/>
          <w:b/>
          <w:bCs/>
          <w:sz w:val="22"/>
          <w:szCs w:val="22"/>
        </w:rPr>
        <w:t xml:space="preserve">ul. Szpitalna 10, 06-300 Przasnysz, </w:t>
      </w:r>
    </w:p>
    <w:p>
      <w:pPr>
        <w:pStyle w:val="Normal"/>
        <w:spacing w:lineRule="auto" w:line="276" w:before="0" w:after="0"/>
        <w:ind w:right="0" w:hanging="0"/>
        <w:jc w:val="both"/>
        <w:rPr>
          <w:rFonts w:ascii="Calibri" w:hAnsi="Calibri"/>
          <w:sz w:val="22"/>
          <w:szCs w:val="22"/>
        </w:rPr>
      </w:pPr>
      <w:r>
        <w:rPr>
          <w:rFonts w:cs="Calibri" w:ascii="Calibri" w:hAnsi="Calibri"/>
          <w:sz w:val="22"/>
          <w:szCs w:val="22"/>
        </w:rPr>
        <w:t>Status nabywcy:</w:t>
      </w:r>
    </w:p>
    <w:p>
      <w:pPr>
        <w:pStyle w:val="Normal"/>
        <w:spacing w:lineRule="auto" w:line="276" w:before="0" w:after="0"/>
        <w:ind w:left="425" w:right="0" w:hanging="363"/>
        <w:jc w:val="both"/>
        <w:rPr>
          <w:rFonts w:ascii="Calibri" w:hAnsi="Calibri"/>
          <w:sz w:val="22"/>
          <w:szCs w:val="22"/>
        </w:rPr>
      </w:pPr>
      <w:r>
        <w:rPr>
          <w:rFonts w:cs="Calibri" w:ascii="Calibri" w:hAnsi="Calibri"/>
          <w:sz w:val="22"/>
          <w:szCs w:val="22"/>
        </w:rPr>
        <w:t>Czy faktura dotyczy jednostki samorządu terytorialnego - TAK</w:t>
      </w:r>
    </w:p>
    <w:p>
      <w:pPr>
        <w:pStyle w:val="Normal"/>
        <w:spacing w:lineRule="auto" w:line="276" w:before="0" w:after="0"/>
        <w:ind w:left="425" w:right="0" w:hanging="363"/>
        <w:jc w:val="both"/>
        <w:rPr>
          <w:rFonts w:ascii="Calibri" w:hAnsi="Calibri"/>
          <w:sz w:val="22"/>
          <w:szCs w:val="22"/>
        </w:rPr>
      </w:pPr>
      <w:r>
        <w:rPr>
          <w:rFonts w:cs="Calibri" w:ascii="Calibri" w:hAnsi="Calibri"/>
          <w:sz w:val="22"/>
          <w:szCs w:val="22"/>
        </w:rPr>
        <w:t>Czy faktura dotyczy członka grupy VAT – NIE.</w:t>
      </w:r>
    </w:p>
    <w:p>
      <w:pPr>
        <w:pStyle w:val="Normal"/>
        <w:spacing w:lineRule="auto" w:line="276" w:before="0" w:after="0"/>
        <w:ind w:right="0" w:hanging="0"/>
        <w:jc w:val="both"/>
        <w:rPr/>
      </w:pPr>
      <w:r>
        <w:rPr/>
      </w:r>
    </w:p>
    <w:p>
      <w:pPr>
        <w:pStyle w:val="Normal"/>
        <w:spacing w:lineRule="auto" w:line="276" w:before="0" w:after="0"/>
        <w:ind w:left="425" w:right="0" w:hanging="363"/>
        <w:jc w:val="both"/>
        <w:rPr>
          <w:rFonts w:ascii="Calibri" w:hAnsi="Calibri"/>
          <w:sz w:val="22"/>
          <w:szCs w:val="22"/>
        </w:rPr>
      </w:pPr>
      <w:r>
        <w:rPr>
          <w:rFonts w:cs="Calibri" w:ascii="Calibri" w:hAnsi="Calibri"/>
          <w:sz w:val="22"/>
          <w:szCs w:val="22"/>
        </w:rPr>
        <w:t>4. Zamawiający zobowiązany jest zapłacić wynagrodzenie na rzecz Wykonawcy w terminie 30 dni od dnia doręczenia Zamawiającemu faktury ustrukturyzowanej. Na gruncie niniejszej umowy za dzień doręczenia faktury ustrukturyzowanej Zamawiającemu uznawać się będzie dzień przydzielenia w Krajowym Systemie e-Faktur numeru identyfikującego tę fakturę (tzw. numer KSeF) pod warunkiem wystawienia faktury ustrukturyzowanej w sposób uwzględniający zasadę wskazaną w pkt. 3.</w:t>
      </w:r>
    </w:p>
    <w:p>
      <w:pPr>
        <w:pStyle w:val="Normal"/>
        <w:spacing w:lineRule="auto" w:line="276" w:before="0" w:after="0"/>
        <w:ind w:left="425" w:right="0" w:hanging="363"/>
        <w:jc w:val="both"/>
        <w:rPr>
          <w:rFonts w:ascii="Calibri" w:hAnsi="Calibri"/>
          <w:sz w:val="22"/>
          <w:szCs w:val="22"/>
        </w:rPr>
      </w:pPr>
      <w:r>
        <w:rPr>
          <w:rFonts w:cs="Calibri" w:ascii="Calibri" w:hAnsi="Calibri"/>
          <w:sz w:val="22"/>
          <w:szCs w:val="22"/>
        </w:rPr>
        <w:t xml:space="preserve">5.  Strony zgodnie postanawiają, że w przypadku wystawienia przez Wykonawcę faktur ustrukturyzowanych w sposób nieuwzględniający zasady wskazanej w pkt. 3, przewidziane terminy płatności nie rozpoczynają się (nie zaczynają biec) do momentu dokonania przez Wykonawcę korekty tak wystawionych faktur ustrukturyzowanych i ich doręczenia Zamawiającemu, które to korekty będą uwzględniały zasadę określoną w pkt. 3. </w:t>
      </w:r>
    </w:p>
    <w:p>
      <w:pPr>
        <w:pStyle w:val="Normal"/>
        <w:spacing w:lineRule="auto" w:line="276" w:before="0" w:after="0"/>
        <w:ind w:left="425" w:right="0" w:hanging="363"/>
        <w:jc w:val="both"/>
        <w:rPr>
          <w:rFonts w:ascii="Calibri" w:hAnsi="Calibri"/>
          <w:sz w:val="22"/>
          <w:szCs w:val="22"/>
        </w:rPr>
      </w:pPr>
      <w:r>
        <w:rPr>
          <w:rFonts w:cs="Calibri" w:ascii="Calibri" w:hAnsi="Calibri"/>
          <w:sz w:val="22"/>
          <w:szCs w:val="22"/>
        </w:rPr>
        <w:t>6. W przypadku, gdy po wystawieniu przez Wykonawcę faktury ustrukturyzowanej oraz przydzieleniu tej fakturze numeru identyfikującego w Krajowym Systemie e-Faktur (KSeF) wystąpi:</w:t>
      </w:r>
    </w:p>
    <w:p>
      <w:pPr>
        <w:pStyle w:val="Normal"/>
        <w:spacing w:lineRule="auto" w:line="276" w:before="0" w:after="0"/>
        <w:ind w:left="425" w:right="0" w:hanging="363"/>
        <w:jc w:val="both"/>
        <w:rPr>
          <w:rFonts w:ascii="Calibri" w:hAnsi="Calibri"/>
          <w:sz w:val="22"/>
          <w:szCs w:val="22"/>
        </w:rPr>
      </w:pPr>
      <w:r>
        <w:rPr>
          <w:rFonts w:cs="Calibri" w:ascii="Calibri" w:hAnsi="Calibri"/>
          <w:sz w:val="22"/>
          <w:szCs w:val="22"/>
        </w:rPr>
        <w:t>1)     niedostępność KSeF zgodnie z art. 106nh ust. 1 oraz art. 106ne ust. 4 ustawy z dnia 11 marca 2004 r. o podatku od towarów i usług,</w:t>
      </w:r>
    </w:p>
    <w:p>
      <w:pPr>
        <w:pStyle w:val="Normal"/>
        <w:spacing w:lineRule="auto" w:line="276" w:before="0" w:after="0"/>
        <w:ind w:left="425" w:right="0" w:hanging="363"/>
        <w:jc w:val="both"/>
        <w:rPr>
          <w:rFonts w:ascii="Calibri" w:hAnsi="Calibri"/>
          <w:sz w:val="22"/>
          <w:szCs w:val="22"/>
        </w:rPr>
      </w:pPr>
      <w:r>
        <w:rPr>
          <w:rFonts w:cs="Calibri" w:ascii="Calibri" w:hAnsi="Calibri"/>
          <w:sz w:val="22"/>
          <w:szCs w:val="22"/>
        </w:rPr>
        <w:t>2)     awaria KSeF zgodnie z art. 106nf ust. 1 oraz art. 106ne ust. 1 ustawy z dnia 11 marca 2004 r. o podatku od towarów i usług,</w:t>
      </w:r>
    </w:p>
    <w:p>
      <w:pPr>
        <w:pStyle w:val="Normal"/>
        <w:spacing w:lineRule="auto" w:line="276" w:before="0" w:after="0"/>
        <w:ind w:left="425" w:right="0" w:hanging="363"/>
        <w:jc w:val="both"/>
        <w:rPr>
          <w:rFonts w:ascii="Calibri" w:hAnsi="Calibri"/>
          <w:sz w:val="22"/>
          <w:szCs w:val="22"/>
        </w:rPr>
      </w:pPr>
      <w:r>
        <w:rPr>
          <w:rFonts w:cs="Calibri" w:ascii="Calibri" w:hAnsi="Calibri"/>
          <w:sz w:val="22"/>
          <w:szCs w:val="22"/>
        </w:rPr>
        <w:t>3)     awaria całkowita KSeF zgodnie z art. 106ng oraz art. 106ne ust. 3 ustawy z dnia 11 marca 2004 r. o podatku od towarów i usług,</w:t>
      </w:r>
    </w:p>
    <w:p>
      <w:pPr>
        <w:pStyle w:val="Normal"/>
        <w:tabs>
          <w:tab w:val="clear" w:pos="708"/>
          <w:tab w:val="left" w:pos="709" w:leader="none"/>
        </w:tabs>
        <w:spacing w:lineRule="auto" w:line="276" w:before="0" w:after="0"/>
        <w:ind w:left="425" w:right="0" w:hanging="363"/>
        <w:jc w:val="both"/>
        <w:rPr>
          <w:rFonts w:ascii="Calibri" w:hAnsi="Calibri"/>
          <w:sz w:val="22"/>
          <w:szCs w:val="22"/>
        </w:rPr>
      </w:pPr>
      <w:r>
        <w:rPr>
          <w:rFonts w:cs="Calibri" w:ascii="Calibri" w:hAnsi="Calibri"/>
          <w:sz w:val="22"/>
          <w:szCs w:val="22"/>
        </w:rPr>
        <w:tab/>
        <w:t xml:space="preserve">termin płatności wynagrodzenia przez Zamawiającego ulega wydłużeniu o czas (okres) niedostępności KSeF, awarii KSeF lub awarii całkowitej KSeF. Okres ten zaokrągla się wzwyż do </w:t>
      </w:r>
      <w:r>
        <w:rPr>
          <w:rFonts w:cs="Calibri" w:ascii="Calibri" w:hAnsi="Calibri"/>
          <w:sz w:val="22"/>
          <w:szCs w:val="22"/>
          <w:shd w:fill="auto" w:val="clear"/>
        </w:rPr>
        <w:t>pełnego dnia kalendarzowego.</w:t>
      </w:r>
    </w:p>
    <w:p>
      <w:pPr>
        <w:pStyle w:val="Normal"/>
        <w:tabs>
          <w:tab w:val="clear" w:pos="708"/>
          <w:tab w:val="left" w:pos="709" w:leader="none"/>
        </w:tabs>
        <w:spacing w:lineRule="auto" w:line="276" w:before="0" w:after="0"/>
        <w:ind w:left="425" w:right="0" w:hanging="363"/>
        <w:jc w:val="both"/>
        <w:rPr>
          <w:rFonts w:ascii="Calibri" w:hAnsi="Calibri"/>
          <w:sz w:val="22"/>
          <w:szCs w:val="22"/>
        </w:rPr>
      </w:pPr>
      <w:r>
        <w:rPr>
          <w:rFonts w:eastAsia="Calibri" w:cs="Calibri" w:ascii="Calibri" w:hAnsi="Calibri"/>
          <w:b w:val="false"/>
          <w:bCs w:val="false"/>
          <w:sz w:val="22"/>
          <w:szCs w:val="22"/>
          <w:shd w:fill="auto" w:val="clear"/>
          <w:lang w:val="pl-PL"/>
        </w:rPr>
        <w:t xml:space="preserve">7.  </w:t>
      </w:r>
      <w:r>
        <w:rPr>
          <w:rFonts w:eastAsia="Calibri" w:cs="Calibri" w:ascii="Calibri" w:hAnsi="Calibri"/>
          <w:b w:val="false"/>
          <w:bCs w:val="false"/>
          <w:sz w:val="20"/>
          <w:szCs w:val="20"/>
          <w:shd w:fill="auto" w:val="clear"/>
          <w:lang w:val="pl-PL"/>
        </w:rPr>
        <w:t xml:space="preserve"> W przypadku, gdy ze względu na wystąpienie sytuacji, o których mowa w ust. 6 (niedostępność KSeF, awaria KSeF, awaria całkowita KSeF) Wykonawca nie będzie miał możliwości wystawienia i doręczenia faktury przy użyciu KSeF, faktury będą wystawiane zgodnie z obowiązującymi przepisami regulującymi skutki wystąpienia takich sytuacji. W takim przypadku faktury (wizualizacje faktur) będą doręczane na adres poczty elektronicznej (e-mail): </w:t>
      </w:r>
      <w:hyperlink r:id="rId2">
        <w:bookmarkStart w:id="0" w:name="cloakc774dd513b497806a7a50d0b4edd7003_ko"/>
        <w:bookmarkEnd w:id="0"/>
        <w:r>
          <w:rPr>
            <w:rStyle w:val="Czeinternetowe"/>
            <w:rFonts w:eastAsia="Calibri" w:cs="Calibri" w:ascii="Calibri" w:hAnsi="Calibri"/>
            <w:b w:val="false"/>
            <w:bCs w:val="false"/>
            <w:sz w:val="20"/>
            <w:szCs w:val="20"/>
            <w:shd w:fill="auto" w:val="clear"/>
            <w:lang w:val="pl-PL"/>
          </w:rPr>
          <w:t>sekretariat@zmsp-przasnysz.pl</w:t>
        </w:r>
      </w:hyperlink>
      <w:r>
        <w:rPr>
          <w:rFonts w:eastAsia="Calibri" w:cs="Calibri" w:ascii="Calibri" w:hAnsi="Calibri"/>
          <w:b w:val="false"/>
          <w:bCs w:val="false"/>
          <w:sz w:val="20"/>
          <w:szCs w:val="20"/>
          <w:shd w:fill="auto" w:val="clear"/>
          <w:lang w:val="pl-PL"/>
        </w:rPr>
        <w:t xml:space="preserve"> . Termin płatności w odniesieniu</w:t>
      </w:r>
      <w:r>
        <w:rPr>
          <w:rFonts w:eastAsia="Calibri" w:cs="Calibri" w:ascii="Calibri" w:hAnsi="Calibri"/>
          <w:b w:val="false"/>
          <w:bCs w:val="false"/>
          <w:sz w:val="20"/>
          <w:szCs w:val="20"/>
          <w:lang w:val="pl-PL"/>
        </w:rPr>
        <w:t xml:space="preserve"> do takich faktur liczony jest od dnia otrzymania faktury (wizualizacji faktury) przez Zamawiającego przy wykorzystaniu adresu poczty elektronicznej pod warunkiem, że faktura zawiera dane Zamawiającego, o których mowa w pkt. 3. W przeciwnym wypadku termin płatności nie rozpoczyna się (nie zaczyna biec) do momentu dokonania przez Wykonawcę korekty wystawionej faktury, która to korekta będzie uwzględniać dane Zamawiającego wskazane w pkt. 3.</w:t>
      </w:r>
    </w:p>
    <w:p>
      <w:pPr>
        <w:pStyle w:val="ListParagraph"/>
        <w:tabs>
          <w:tab w:val="clear" w:pos="708"/>
          <w:tab w:val="left" w:pos="142" w:leader="none"/>
          <w:tab w:val="left" w:pos="284" w:leader="none"/>
        </w:tabs>
        <w:spacing w:before="144" w:after="0"/>
        <w:ind w:left="-142" w:hanging="0"/>
        <w:contextualSpacing/>
        <w:jc w:val="both"/>
        <w:rPr>
          <w:rFonts w:ascii="Calibri Light" w:hAnsi="Calibri Light" w:cs="Calibri Light" w:asciiTheme="majorHAnsi" w:cstheme="majorHAnsi" w:hAnsiTheme="majorHAnsi"/>
        </w:rPr>
      </w:pPr>
      <w:r>
        <w:rPr>
          <w:rFonts w:cs="Calibri Light" w:cstheme="majorHAnsi" w:ascii="Calibri Light" w:hAnsi="Calibri Light"/>
        </w:rPr>
      </w:r>
    </w:p>
    <w:p>
      <w:pPr>
        <w:pStyle w:val="ListParagraph"/>
        <w:numPr>
          <w:ilvl w:val="0"/>
          <w:numId w:val="0"/>
        </w:numPr>
        <w:tabs>
          <w:tab w:val="clear" w:pos="708"/>
          <w:tab w:val="left" w:pos="142" w:leader="none"/>
          <w:tab w:val="left" w:pos="284" w:leader="none"/>
        </w:tabs>
        <w:spacing w:before="144" w:after="0"/>
        <w:ind w:left="-142" w:hanging="0"/>
        <w:contextualSpacing/>
        <w:jc w:val="both"/>
        <w:rPr>
          <w:rFonts w:ascii="Calibri Light" w:hAnsi="Calibri Light" w:cs="Calibri Light" w:asciiTheme="majorHAnsi" w:cstheme="majorHAnsi" w:hAnsiTheme="majorHAnsi"/>
        </w:rPr>
      </w:pPr>
      <w:r>
        <w:rPr>
          <w:rFonts w:cs="Calibri Light" w:ascii="Calibri Light" w:hAnsi="Calibri Light" w:asciiTheme="majorHAnsi" w:cstheme="majorHAnsi" w:hAnsiTheme="majorHAnsi"/>
        </w:rPr>
        <w:t xml:space="preserve">8. . Ustalenie wysokości należności z tytułu dostarczania Paliwa Gazowego dokonywane będzie odpowiednio według cen i stawek opłat oraz zasad rozliczeń określonych w Formularzu cenowym, </w:t>
        <w:br/>
        <w:t>tj. Załącznik nr 1A do SWZ złożonym przez Wykonawcę (w zakresie opłaty za paliwo gazowe i abonament) oraz według aktualnie obowiązującej taryfy Operatora Sieci Dystrybucyjnej lub Operatora Sieci Przesyłowej, do którego sieci jest przyłączony Odbiorca (w zakresie opłaty stałej i zmiennej).</w:t>
      </w:r>
    </w:p>
    <w:p>
      <w:pPr>
        <w:pStyle w:val="ListParagraph"/>
        <w:numPr>
          <w:ilvl w:val="0"/>
          <w:numId w:val="0"/>
        </w:numPr>
        <w:tabs>
          <w:tab w:val="clear" w:pos="708"/>
          <w:tab w:val="left" w:pos="142" w:leader="none"/>
          <w:tab w:val="left" w:pos="284" w:leader="none"/>
        </w:tabs>
        <w:spacing w:before="144" w:after="0"/>
        <w:ind w:left="-142" w:hanging="0"/>
        <w:contextualSpacing/>
        <w:jc w:val="both"/>
        <w:rPr>
          <w:rFonts w:ascii="Calibri Light" w:hAnsi="Calibri Light" w:cs="Calibri Light" w:asciiTheme="majorHAnsi" w:cstheme="majorHAnsi" w:hAnsiTheme="majorHAnsi"/>
        </w:rPr>
      </w:pPr>
      <w:r>
        <w:rPr>
          <w:rFonts w:cs="Calibri Light" w:ascii="Calibri Light" w:hAnsi="Calibri Light" w:asciiTheme="majorHAnsi" w:cstheme="majorHAnsi" w:hAnsiTheme="majorHAnsi"/>
          <w:sz w:val="22"/>
          <w:szCs w:val="22"/>
        </w:rPr>
        <w:t>9. Rozliczenia za Paliwo gazowe dokonywane będą w oparciu o faktury VAT wystawiane na podstawie danych pomiarowo–rozliczeniowych przekazanych Wykonawcy przez OSD.</w:t>
      </w:r>
    </w:p>
    <w:p>
      <w:pPr>
        <w:pStyle w:val="Normal"/>
        <w:numPr>
          <w:ilvl w:val="1"/>
          <w:numId w:val="5"/>
        </w:numPr>
        <w:tabs>
          <w:tab w:val="clear" w:pos="708"/>
          <w:tab w:val="left" w:pos="142" w:leader="none"/>
          <w:tab w:val="left" w:pos="284" w:leader="none"/>
        </w:tabs>
        <w:spacing w:lineRule="auto" w:line="276"/>
        <w:ind w:left="-142" w:hanging="0"/>
        <w:jc w:val="both"/>
        <w:rPr>
          <w:rFonts w:ascii="Calibri Light" w:hAnsi="Calibri Light" w:cs="Calibri Light" w:asciiTheme="majorHAnsi" w:cstheme="majorHAnsi" w:hAnsiTheme="majorHAnsi"/>
          <w:sz w:val="22"/>
          <w:szCs w:val="22"/>
        </w:rPr>
      </w:pPr>
      <w:r>
        <w:rPr>
          <w:rFonts w:cs="Calibri Light" w:ascii="Calibri Light" w:hAnsi="Calibri Light" w:asciiTheme="majorHAnsi" w:cstheme="majorHAnsi" w:hAnsiTheme="majorHAnsi"/>
          <w:sz w:val="22"/>
          <w:szCs w:val="22"/>
        </w:rPr>
        <w:t xml:space="preserve">z tytułu sprzedaży Paliwa gazowego zgodnie z ofertą złożoną w postępowaniu przetargowym, </w:t>
      </w:r>
    </w:p>
    <w:p>
      <w:pPr>
        <w:pStyle w:val="Normal"/>
        <w:numPr>
          <w:ilvl w:val="1"/>
          <w:numId w:val="5"/>
        </w:numPr>
        <w:tabs>
          <w:tab w:val="clear" w:pos="708"/>
          <w:tab w:val="left" w:pos="142" w:leader="none"/>
          <w:tab w:val="left" w:pos="284" w:leader="none"/>
        </w:tabs>
        <w:spacing w:lineRule="auto" w:line="276"/>
        <w:ind w:left="-142" w:hanging="0"/>
        <w:jc w:val="both"/>
        <w:rPr>
          <w:rFonts w:ascii="Calibri Light" w:hAnsi="Calibri Light" w:cs="Calibri Light" w:asciiTheme="majorHAnsi" w:cstheme="majorHAnsi" w:hAnsiTheme="majorHAnsi"/>
          <w:sz w:val="22"/>
          <w:szCs w:val="22"/>
        </w:rPr>
      </w:pPr>
      <w:r>
        <w:rPr>
          <w:rFonts w:cs="Calibri Light" w:ascii="Calibri Light" w:hAnsi="Calibri Light" w:asciiTheme="majorHAnsi" w:cstheme="majorHAnsi" w:hAnsiTheme="majorHAnsi"/>
          <w:sz w:val="22"/>
          <w:szCs w:val="22"/>
        </w:rPr>
        <w:t xml:space="preserve">z tytułu świadczenia usług dystrybucji Paliwa gazowego zgodnie z aktualną Taryfą OSD.  </w:t>
      </w:r>
    </w:p>
    <w:p>
      <w:pPr>
        <w:pStyle w:val="ListParagraph"/>
        <w:widowControl w:val="false"/>
        <w:numPr>
          <w:ilvl w:val="0"/>
          <w:numId w:val="0"/>
        </w:numPr>
        <w:tabs>
          <w:tab w:val="clear" w:pos="708"/>
          <w:tab w:val="left" w:pos="142" w:leader="none"/>
        </w:tabs>
        <w:spacing w:before="0" w:after="0"/>
        <w:ind w:left="-142" w:hanging="0"/>
        <w:contextualSpacing/>
        <w:jc w:val="both"/>
        <w:rPr>
          <w:rFonts w:ascii="Calibri Light" w:hAnsi="Calibri Light" w:cs="Calibri Light" w:asciiTheme="majorHAnsi" w:cstheme="majorHAnsi" w:hAnsiTheme="majorHAnsi"/>
        </w:rPr>
      </w:pPr>
      <w:r>
        <w:rPr>
          <w:rFonts w:cs="Calibri Light" w:ascii="Calibri Light" w:hAnsi="Calibri Light" w:asciiTheme="majorHAnsi" w:cstheme="majorHAnsi" w:hAnsiTheme="majorHAnsi"/>
        </w:rPr>
        <w:t>10. Obowiązującą formą wynagrodzenia będzie wynagrodzenie umowne  obliczone zgodnie z treścią Formularza Cenowego stanowiącego element oferty.</w:t>
      </w:r>
    </w:p>
    <w:p>
      <w:pPr>
        <w:pStyle w:val="ListParagraph"/>
        <w:numPr>
          <w:ilvl w:val="0"/>
          <w:numId w:val="0"/>
        </w:numPr>
        <w:tabs>
          <w:tab w:val="clear" w:pos="708"/>
          <w:tab w:val="left" w:pos="142" w:leader="none"/>
        </w:tabs>
        <w:spacing w:before="0" w:after="0"/>
        <w:ind w:left="-142" w:hanging="0"/>
        <w:contextualSpacing/>
        <w:jc w:val="both"/>
        <w:rPr>
          <w:rFonts w:ascii="Calibri Light" w:hAnsi="Calibri Light" w:cs="Calibri Light" w:asciiTheme="majorHAnsi" w:cstheme="majorHAnsi" w:hAnsiTheme="majorHAnsi"/>
        </w:rPr>
      </w:pPr>
      <w:r>
        <w:rPr>
          <w:rFonts w:cs="Calibri Light" w:ascii="Calibri Light" w:hAnsi="Calibri Light" w:asciiTheme="majorHAnsi" w:cstheme="majorHAnsi" w:hAnsiTheme="majorHAnsi"/>
          <w:color w:val="000000"/>
        </w:rPr>
        <w:t xml:space="preserve">11. Rozliczanie ilości dostarczonego Paliwa gazowego odbywać się będzie na podstawie rzeczywistych wskazań Układu pomiarowego, z uwzględnieniem współczynnika konwersji wyliczonego zgodnie z zasadami określonymi w Taryfie Operatora Systemu Dystrybucyjnego (OSD), w okresach ustalonych w Taryfie OSD. Do rozliczeń z tytułu Umowy kompleksowej będą miały zastosowanie stawki opłat dystrybucyjnych i warunki ich stosowania wynikające z Taryfy OSD. </w:t>
      </w:r>
      <w:r>
        <w:rPr>
          <w:rFonts w:cs="Calibri Light" w:ascii="Calibri Light" w:hAnsi="Calibri Light" w:asciiTheme="majorHAnsi" w:cstheme="majorHAnsi" w:hAnsiTheme="majorHAnsi"/>
        </w:rPr>
        <w:t xml:space="preserve">Zużycie paliwa gazowego wskazane w Załączniku nr 1 do Umowy ma charakter szacunkowy. Wykonawca winien wystawiać faktury kompleksowe na podstawie danych pomiarowo – rozliczeniowych otrzymywanych od OSD, tj. zgodnie z rzeczywistym zużyciem. </w:t>
      </w:r>
    </w:p>
    <w:p>
      <w:pPr>
        <w:pStyle w:val="ListParagraph"/>
        <w:numPr>
          <w:ilvl w:val="0"/>
          <w:numId w:val="0"/>
        </w:numPr>
        <w:tabs>
          <w:tab w:val="clear" w:pos="708"/>
          <w:tab w:val="left" w:pos="142" w:leader="none"/>
        </w:tabs>
        <w:spacing w:before="0" w:after="0"/>
        <w:ind w:left="-142" w:hanging="0"/>
        <w:contextualSpacing/>
        <w:jc w:val="both"/>
        <w:rPr>
          <w:rFonts w:ascii="Calibri Light" w:hAnsi="Calibri Light" w:cs="Calibri Light" w:asciiTheme="majorHAnsi" w:cstheme="majorHAnsi" w:hAnsiTheme="majorHAnsi"/>
        </w:rPr>
      </w:pPr>
      <w:r>
        <w:rPr>
          <w:rFonts w:cs="Calibri Light" w:ascii="Calibri Light" w:hAnsi="Calibri Light" w:asciiTheme="majorHAnsi" w:cstheme="majorHAnsi" w:hAnsiTheme="majorHAnsi"/>
        </w:rPr>
        <w:t xml:space="preserve">12. Za dzień uregulowania należności przyjmuje się datę wpływu należności na rachunek bankowy Sprzedawcy wskazany na fakturze. </w:t>
      </w:r>
    </w:p>
    <w:p>
      <w:pPr>
        <w:pStyle w:val="ListParagraph"/>
        <w:numPr>
          <w:ilvl w:val="0"/>
          <w:numId w:val="0"/>
        </w:numPr>
        <w:tabs>
          <w:tab w:val="clear" w:pos="708"/>
          <w:tab w:val="left" w:pos="142" w:leader="none"/>
        </w:tabs>
        <w:spacing w:before="0" w:after="0"/>
        <w:ind w:left="-142" w:hanging="0"/>
        <w:contextualSpacing/>
        <w:jc w:val="both"/>
        <w:rPr>
          <w:rFonts w:ascii="Calibri Light" w:hAnsi="Calibri Light" w:cs="Calibri Light" w:asciiTheme="majorHAnsi" w:cstheme="majorHAnsi" w:hAnsiTheme="majorHAnsi"/>
        </w:rPr>
      </w:pPr>
      <w:r>
        <w:rPr>
          <w:rFonts w:cs="Calibri Light" w:ascii="Calibri Light" w:hAnsi="Calibri Light" w:asciiTheme="majorHAnsi" w:cstheme="majorHAnsi" w:hAnsiTheme="majorHAnsi"/>
        </w:rPr>
        <w:t xml:space="preserve">13. Dopuszcza się wystawiania faktur – prognoz. </w:t>
      </w:r>
    </w:p>
    <w:p>
      <w:pPr>
        <w:pStyle w:val="ListParagraph"/>
        <w:numPr>
          <w:ilvl w:val="0"/>
          <w:numId w:val="0"/>
        </w:numPr>
        <w:tabs>
          <w:tab w:val="clear" w:pos="708"/>
          <w:tab w:val="left" w:pos="142" w:leader="none"/>
        </w:tabs>
        <w:ind w:left="-142" w:hanging="0"/>
        <w:jc w:val="both"/>
        <w:rPr>
          <w:rFonts w:ascii="Calibri Light" w:hAnsi="Calibri Light" w:eastAsia="SimSun" w:cs="Calibri Light" w:asciiTheme="majorHAnsi" w:cstheme="majorHAnsi" w:hAnsiTheme="majorHAnsi"/>
        </w:rPr>
      </w:pPr>
      <w:r>
        <w:rPr>
          <w:rFonts w:eastAsia="Palatino Linotype" w:cs="Calibri Light" w:ascii="Calibri Light" w:hAnsi="Calibri Light" w:asciiTheme="majorHAnsi" w:cstheme="majorHAnsi" w:hAnsiTheme="majorHAnsi"/>
          <w:bCs/>
        </w:rPr>
        <w:t xml:space="preserve">14. Zamawiający gwarantuje Wykonawcy realizację dostaw o wartości nie mniejszej niż 70 % wartości brutto, wskazanej dla zamówienia. </w:t>
      </w:r>
      <w:r>
        <w:rPr>
          <w:rFonts w:cs="Calibri Light" w:ascii="Calibri Light" w:hAnsi="Calibri Light" w:asciiTheme="majorHAnsi" w:cstheme="majorHAnsi" w:hAnsiTheme="majorHAnsi"/>
        </w:rPr>
        <w:t>Ilości wskazane w załączniku nr 1 SWZ stanowią szacunkowe zapotrzebowanie na paliwo gazowe, którego Zamawiający nie musi zrealizować.</w:t>
      </w:r>
      <w:r>
        <w:rPr>
          <w:rFonts w:eastAsia="Palatino Linotype" w:cs="Calibri Light" w:ascii="Calibri Light" w:hAnsi="Calibri Light" w:asciiTheme="majorHAnsi" w:cstheme="majorHAnsi" w:hAnsiTheme="majorHAnsi"/>
          <w:bCs/>
        </w:rPr>
        <w:t xml:space="preserve"> </w:t>
      </w:r>
      <w:r>
        <w:rPr>
          <w:rFonts w:cs="Calibri Light" w:ascii="Calibri Light" w:hAnsi="Calibri Light" w:asciiTheme="majorHAnsi" w:cstheme="majorHAnsi" w:hAnsiTheme="majorHAnsi"/>
        </w:rPr>
        <w:t xml:space="preserve">Wykonawcy nie będą przysługiwały żadne roszczenia z tytułu dostaw niezrealizowanych, tj. </w:t>
      </w:r>
      <w:r>
        <w:rPr>
          <w:rFonts w:cs="Calibri Light" w:ascii="Calibri Light" w:hAnsi="Calibri Light" w:asciiTheme="majorHAnsi" w:cstheme="majorHAnsi" w:hAnsiTheme="majorHAnsi"/>
          <w:color w:val="C00000"/>
        </w:rPr>
        <w:t xml:space="preserve"> </w:t>
      </w:r>
      <w:r>
        <w:rPr>
          <w:rFonts w:cs="Calibri Light" w:ascii="Calibri Light" w:hAnsi="Calibri Light" w:asciiTheme="majorHAnsi" w:cstheme="majorHAnsi" w:hAnsiTheme="majorHAnsi"/>
        </w:rPr>
        <w:t>mniejszych niż wskazano powyżej.</w:t>
      </w:r>
    </w:p>
    <w:p>
      <w:pPr>
        <w:pStyle w:val="ListParagraph"/>
        <w:numPr>
          <w:ilvl w:val="0"/>
          <w:numId w:val="0"/>
        </w:numPr>
        <w:tabs>
          <w:tab w:val="clear" w:pos="708"/>
          <w:tab w:val="left" w:pos="142" w:leader="none"/>
        </w:tabs>
        <w:spacing w:before="0" w:after="0"/>
        <w:ind w:left="-142" w:hanging="0"/>
        <w:contextualSpacing/>
        <w:jc w:val="both"/>
        <w:rPr>
          <w:rFonts w:ascii="Calibri Light" w:hAnsi="Calibri Light" w:eastAsia="SimSun" w:cs="Calibri Light" w:asciiTheme="majorHAnsi" w:cstheme="majorHAnsi" w:hAnsiTheme="majorHAnsi"/>
        </w:rPr>
      </w:pPr>
      <w:r>
        <w:rPr>
          <w:rFonts w:cs="Calibri Light" w:ascii="Calibri Light" w:hAnsi="Calibri Light" w:asciiTheme="majorHAnsi" w:cstheme="majorHAnsi" w:hAnsiTheme="majorHAnsi"/>
        </w:rPr>
        <w:t xml:space="preserve">15. Zamawiający wyraża zgodę na otrzymywanie faktur - prognoz w grupie taryfowej W-5.1 na podstawie prognozowanego zużycia paliwa gazowego oraz fakturę rozliczeniową za pobrane paliwo gazowe wystawioną na koniec okresu rozliczeniowego, której kwota zostanie pomniejszona o kwotę wynikającą w faktur wstępnych. </w:t>
      </w:r>
    </w:p>
    <w:p>
      <w:pPr>
        <w:pStyle w:val="Normal"/>
        <w:tabs>
          <w:tab w:val="clear" w:pos="708"/>
          <w:tab w:val="left" w:pos="709" w:leader="none"/>
        </w:tabs>
        <w:spacing w:lineRule="auto" w:line="276" w:before="0" w:after="0"/>
        <w:ind w:left="425" w:right="0" w:hanging="0"/>
        <w:jc w:val="both"/>
        <w:rPr/>
      </w:pPr>
      <w:r>
        <w:rPr/>
      </w:r>
    </w:p>
    <w:p>
      <w:pPr>
        <w:pStyle w:val="ListParagraph"/>
        <w:tabs>
          <w:tab w:val="clear" w:pos="708"/>
          <w:tab w:val="left" w:pos="142" w:leader="none"/>
        </w:tabs>
        <w:spacing w:before="0" w:after="0"/>
        <w:ind w:left="-142" w:hanging="0"/>
        <w:contextualSpacing/>
        <w:jc w:val="both"/>
        <w:rPr>
          <w:rFonts w:ascii="Calibri Light" w:hAnsi="Calibri Light" w:eastAsia="SimSun" w:cs="Calibri Light" w:asciiTheme="majorHAnsi" w:cstheme="majorHAnsi" w:hAnsiTheme="majorHAnsi"/>
        </w:rPr>
      </w:pPr>
      <w:r>
        <w:rPr>
          <w:rFonts w:eastAsia="SimSun" w:cs="Calibri Light" w:cstheme="majorHAnsi" w:ascii="Calibri Light" w:hAnsi="Calibri Light"/>
        </w:rPr>
      </w:r>
    </w:p>
    <w:p>
      <w:pPr>
        <w:pStyle w:val="ListParagraph"/>
        <w:numPr>
          <w:ilvl w:val="0"/>
          <w:numId w:val="9"/>
        </w:numPr>
        <w:spacing w:before="0" w:after="0"/>
        <w:ind w:left="284" w:hanging="426"/>
        <w:contextualSpacing/>
        <w:rPr>
          <w:rFonts w:ascii="Calibri Light" w:hAnsi="Calibri Light" w:cs="Calibri Light" w:asciiTheme="majorHAnsi" w:cstheme="majorHAnsi" w:hAnsiTheme="majorHAnsi"/>
          <w:b/>
          <w:b/>
          <w:u w:val="single"/>
        </w:rPr>
      </w:pPr>
      <w:r>
        <w:rPr>
          <w:rFonts w:cs="Calibri Light" w:ascii="Calibri Light" w:hAnsi="Calibri Light" w:asciiTheme="majorHAnsi" w:cstheme="majorHAnsi" w:hAnsiTheme="majorHAnsi"/>
          <w:b/>
        </w:rPr>
        <w:t>Kary umowne</w:t>
      </w:r>
    </w:p>
    <w:p>
      <w:pPr>
        <w:pStyle w:val="Normal"/>
        <w:spacing w:lineRule="auto" w:line="276"/>
        <w:ind w:left="360" w:hanging="0"/>
        <w:rPr>
          <w:rFonts w:ascii="Calibri Light" w:hAnsi="Calibri Light" w:cs="Calibri Light" w:asciiTheme="majorHAnsi" w:cstheme="majorHAnsi" w:hAnsiTheme="majorHAnsi"/>
          <w:b/>
          <w:b/>
          <w:sz w:val="22"/>
          <w:szCs w:val="22"/>
        </w:rPr>
      </w:pPr>
      <w:r>
        <w:rPr>
          <w:rFonts w:cs="Calibri Light" w:cstheme="majorHAnsi" w:ascii="Calibri Light" w:hAnsi="Calibri Light"/>
          <w:b/>
          <w:sz w:val="22"/>
          <w:szCs w:val="22"/>
        </w:rPr>
      </w:r>
    </w:p>
    <w:p>
      <w:pPr>
        <w:pStyle w:val="Normal"/>
        <w:numPr>
          <w:ilvl w:val="0"/>
          <w:numId w:val="4"/>
        </w:numPr>
        <w:tabs>
          <w:tab w:val="clear" w:pos="708"/>
          <w:tab w:val="left" w:pos="142" w:leader="none"/>
        </w:tabs>
        <w:spacing w:lineRule="auto" w:line="276"/>
        <w:ind w:left="-142" w:hanging="0"/>
        <w:jc w:val="both"/>
        <w:rPr>
          <w:rFonts w:ascii="Calibri Light" w:hAnsi="Calibri Light" w:cs="Calibri Light" w:asciiTheme="majorHAnsi" w:cstheme="majorHAnsi" w:hAnsiTheme="majorHAnsi"/>
          <w:sz w:val="22"/>
          <w:szCs w:val="22"/>
        </w:rPr>
      </w:pPr>
      <w:r>
        <w:rPr>
          <w:rFonts w:cs="Calibri Light" w:ascii="Calibri Light" w:hAnsi="Calibri Light" w:asciiTheme="majorHAnsi" w:cstheme="majorHAnsi" w:hAnsiTheme="majorHAnsi"/>
          <w:sz w:val="22"/>
          <w:szCs w:val="22"/>
        </w:rPr>
        <w:t>W przypadku niedotrzymania standardów i pomiarów jakościowych dostarczanego paliwa gazowego Zamawiającemu przysługuje upust i bonifikata w wysokości i na warunkach określonych w Taryfie OSD zatwierdzonej przez Prezesa Urzędu Regulacji Energetyki.</w:t>
      </w:r>
    </w:p>
    <w:p>
      <w:pPr>
        <w:pStyle w:val="ListParagraph"/>
        <w:numPr>
          <w:ilvl w:val="0"/>
          <w:numId w:val="4"/>
        </w:numPr>
        <w:tabs>
          <w:tab w:val="clear" w:pos="708"/>
          <w:tab w:val="left" w:pos="142" w:leader="none"/>
          <w:tab w:val="left" w:pos="284" w:leader="none"/>
        </w:tabs>
        <w:spacing w:before="0" w:after="0"/>
        <w:ind w:left="-142" w:hanging="0"/>
        <w:contextualSpacing/>
        <w:jc w:val="both"/>
        <w:rPr>
          <w:rFonts w:ascii="Calibri Light" w:hAnsi="Calibri Light" w:cs="Calibri Light" w:asciiTheme="majorHAnsi" w:cstheme="majorHAnsi" w:hAnsiTheme="majorHAnsi"/>
        </w:rPr>
      </w:pPr>
      <w:r>
        <w:rPr>
          <w:rFonts w:cs="Calibri Light" w:ascii="Calibri Light" w:hAnsi="Calibri Light" w:asciiTheme="majorHAnsi" w:cstheme="majorHAnsi" w:hAnsiTheme="majorHAnsi"/>
        </w:rPr>
        <w:t xml:space="preserve">W przypadku, gdy Wykonawca, z przyczyn leżących po stronie Wykonawcy, zaprzestanie na stałe, bądź tymczasowo, wykonywania kompleksowej dostawy gazu ziemnego wysokometanowego typu E na rzecz Zamawiającego, skutkiem czego sprzedaż ta będzie realizowana przez tzw. sprzedawcę rezerwowego, o czym jest mowa w art. 5aa ust. 1 Prawa energetycznego, Wykonawca będzie zobowiązany do naprawienia powstałej stąd szkody. Za powstałą w takiej sytuacji szkodę uważa się w szczególności różnicę w kosztach zakupu paliwa gazowego od tzw. sprzedawcy rezerwowego, w stosunku do kosztów, jakie powinny były zostać poniesione na podstawie obowiązującej Umowy kompleksowej, której załącznikiem są niniejsze zapisy Projektowanych postanowień umowy w sprawie zamówienia publicznego, które zostaną wprowadzone do umowy w sprawie zamówienia publicznego. Dotyczy to całego okresu realizacji sprzedaży paliwa gazowego przez tzw. sprzedawcę rezerwowego, z tym, że nie dłużej niż do chwili wznowienia sprzedaży przez Wykonawcę bądź innego sprzedawcę paliwa gazowego wyłonionego w przetargu publicznym, z tym, że nigdy dłużej niż do dnia wskazanego w § 2 ust. 1 niniejszych Projektowanych postanowień umowy w sprawie zamówienia publicznego, które </w:t>
      </w:r>
      <w:r>
        <w:rPr>
          <w:rFonts w:cs="Calibri Light" w:ascii="Calibri Light" w:hAnsi="Calibri Light" w:asciiTheme="majorHAnsi" w:cstheme="majorHAnsi" w:hAnsiTheme="majorHAnsi"/>
          <w:color w:val="000000"/>
        </w:rPr>
        <w:t xml:space="preserve">zostaną wprowadzone do umowy w sprawie zamówienia publicznego. </w:t>
      </w:r>
      <w:bookmarkStart w:id="1" w:name="_Hlk26968111"/>
      <w:bookmarkEnd w:id="1"/>
    </w:p>
    <w:p>
      <w:pPr>
        <w:pStyle w:val="ListParagraph"/>
        <w:numPr>
          <w:ilvl w:val="0"/>
          <w:numId w:val="4"/>
        </w:numPr>
        <w:tabs>
          <w:tab w:val="clear" w:pos="708"/>
          <w:tab w:val="left" w:pos="142" w:leader="none"/>
          <w:tab w:val="left" w:pos="284" w:leader="none"/>
        </w:tabs>
        <w:spacing w:before="0" w:after="0"/>
        <w:ind w:left="-142" w:hanging="0"/>
        <w:contextualSpacing/>
        <w:jc w:val="both"/>
        <w:rPr>
          <w:color w:val="000000"/>
        </w:rPr>
      </w:pPr>
      <w:r>
        <w:rPr>
          <w:rFonts w:cs="Calibri Light" w:ascii="Calibri Light" w:hAnsi="Calibri Light" w:asciiTheme="majorHAnsi" w:cstheme="majorHAnsi" w:hAnsiTheme="majorHAnsi"/>
          <w:color w:val="000000"/>
        </w:rPr>
        <w:t>W przypadku odstąpienia od Umowy bądź jej rozwiązania z przyczyn leżących po stronie Wykonawcy oraz nabywania przez Zamawiającego gazu od sprzedawcy rezerwowego, Zamawiającemu przysługuje od Wykonawcy odszkodowanie w wysokości stanowiącej różnicę między poniesionymi kosztami zakupu gazu od sprzedawcy rezerwowego a kosztami jakie poniósłby Zamawiający nabywając gaz u Wykonawcy w założonym okresie obowiązywania umowy.</w:t>
      </w:r>
    </w:p>
    <w:p>
      <w:pPr>
        <w:pStyle w:val="ListParagraph"/>
        <w:numPr>
          <w:ilvl w:val="0"/>
          <w:numId w:val="4"/>
        </w:numPr>
        <w:tabs>
          <w:tab w:val="clear" w:pos="708"/>
          <w:tab w:val="left" w:pos="142" w:leader="none"/>
          <w:tab w:val="left" w:pos="284" w:leader="none"/>
        </w:tabs>
        <w:spacing w:before="0" w:after="0"/>
        <w:ind w:left="-142" w:hanging="0"/>
        <w:contextualSpacing/>
        <w:jc w:val="both"/>
        <w:rPr>
          <w:color w:val="000000"/>
        </w:rPr>
      </w:pPr>
      <w:r>
        <w:rPr>
          <w:rFonts w:cs="Calibri Light" w:ascii="Calibri Light" w:hAnsi="Calibri Light" w:asciiTheme="majorHAnsi" w:cstheme="majorHAnsi" w:hAnsiTheme="majorHAnsi"/>
          <w:color w:val="000000"/>
        </w:rPr>
        <w:t>W przypadku odstąpienia od umowy przez Zamawiającego lub Wykonawcę z przyczyn leżących po stronie Wykonawcy, Wykonawca zapłaci na rzecz Zamawiającego karę umowną w wysokości 10.000,00 zł</w:t>
      </w:r>
    </w:p>
    <w:p>
      <w:pPr>
        <w:pStyle w:val="ListParagraph"/>
        <w:numPr>
          <w:ilvl w:val="0"/>
          <w:numId w:val="4"/>
        </w:numPr>
        <w:tabs>
          <w:tab w:val="clear" w:pos="708"/>
          <w:tab w:val="left" w:pos="142" w:leader="none"/>
          <w:tab w:val="left" w:pos="284" w:leader="none"/>
        </w:tabs>
        <w:spacing w:before="0" w:after="0"/>
        <w:ind w:left="-142" w:hanging="0"/>
        <w:contextualSpacing/>
        <w:jc w:val="both"/>
        <w:rPr>
          <w:color w:val="000000"/>
        </w:rPr>
      </w:pPr>
      <w:r>
        <w:rPr>
          <w:rFonts w:cs="Calibri Light" w:ascii="Calibri Light" w:hAnsi="Calibri Light" w:asciiTheme="majorHAnsi" w:cstheme="majorHAnsi" w:hAnsiTheme="majorHAnsi"/>
          <w:color w:val="000000"/>
        </w:rPr>
        <w:t>Zamawiający jest uprawniony do dochodzenia odszkodowania przewyższającego wysokość zastrzeżonych kar umownych na zasadach ogólnych, jeżeli wysokość kary umownej nie pokrywa szkody w całości.</w:t>
      </w:r>
    </w:p>
    <w:p>
      <w:pPr>
        <w:pStyle w:val="ListParagraph"/>
        <w:numPr>
          <w:ilvl w:val="0"/>
          <w:numId w:val="4"/>
        </w:numPr>
        <w:tabs>
          <w:tab w:val="clear" w:pos="708"/>
          <w:tab w:val="left" w:pos="142" w:leader="none"/>
          <w:tab w:val="left" w:pos="284" w:leader="none"/>
        </w:tabs>
        <w:spacing w:before="0" w:after="0"/>
        <w:ind w:left="-142" w:hanging="0"/>
        <w:contextualSpacing/>
        <w:jc w:val="both"/>
        <w:rPr>
          <w:color w:val="000000"/>
        </w:rPr>
      </w:pPr>
      <w:r>
        <w:rPr>
          <w:rFonts w:cs="Calibri Light" w:ascii="Calibri Light" w:hAnsi="Calibri Light" w:asciiTheme="majorHAnsi" w:cstheme="majorHAnsi" w:hAnsiTheme="majorHAnsi"/>
          <w:color w:val="000000"/>
        </w:rPr>
        <w:t>Zamawiający jest uprawniony do potrącania z faktur Wykonawcy kar umownych i ewentualnych odszkodowań uzupełniających, a ponadto kwot należnych od Wykonawcy z tytułu szkód wyrządzonych przez Wykonawcę przy wykonywaniu umowy.</w:t>
      </w:r>
    </w:p>
    <w:p>
      <w:pPr>
        <w:pStyle w:val="ListParagraph"/>
        <w:numPr>
          <w:ilvl w:val="0"/>
          <w:numId w:val="4"/>
        </w:numPr>
        <w:tabs>
          <w:tab w:val="clear" w:pos="708"/>
          <w:tab w:val="left" w:pos="142" w:leader="none"/>
          <w:tab w:val="left" w:pos="284" w:leader="none"/>
        </w:tabs>
        <w:spacing w:before="0" w:after="0"/>
        <w:ind w:left="-142" w:hanging="0"/>
        <w:contextualSpacing/>
        <w:jc w:val="both"/>
        <w:rPr>
          <w:color w:val="000000"/>
        </w:rPr>
      </w:pPr>
      <w:r>
        <w:rPr>
          <w:rFonts w:cs="Calibri Light" w:ascii="Calibri Light" w:hAnsi="Calibri Light" w:asciiTheme="majorHAnsi" w:cstheme="majorHAnsi" w:hAnsiTheme="majorHAnsi"/>
          <w:color w:val="000000"/>
        </w:rPr>
        <w:t>Zapłata kar przez Wykonawcę lub potrącenie przez Zamawiającego kwoty kar z płatności należnej Wykonawcy nie zwalnia Wykonawcy z obowiązku wykonania umowy lub jakichkolwiek innych obowiązków i zobowiązań wynikających z niniejszej Umowy.</w:t>
      </w:r>
    </w:p>
    <w:p>
      <w:pPr>
        <w:pStyle w:val="ListParagraph"/>
        <w:numPr>
          <w:ilvl w:val="0"/>
          <w:numId w:val="0"/>
        </w:numPr>
        <w:tabs>
          <w:tab w:val="clear" w:pos="708"/>
          <w:tab w:val="left" w:pos="142" w:leader="none"/>
          <w:tab w:val="left" w:pos="284" w:leader="none"/>
        </w:tabs>
        <w:spacing w:before="0" w:after="0"/>
        <w:ind w:left="578" w:hanging="0"/>
        <w:contextualSpacing/>
        <w:jc w:val="both"/>
        <w:rPr>
          <w:rFonts w:ascii="Calibri Light" w:hAnsi="Calibri Light" w:cs="Calibri Light" w:asciiTheme="majorHAnsi" w:cstheme="majorHAnsi" w:hAnsiTheme="majorHAnsi"/>
        </w:rPr>
      </w:pPr>
      <w:r>
        <w:rPr>
          <w:rFonts w:cs="Calibri Light" w:cstheme="majorHAnsi" w:ascii="Calibri Light" w:hAnsi="Calibri Light"/>
        </w:rPr>
      </w:r>
    </w:p>
    <w:p>
      <w:pPr>
        <w:pStyle w:val="Akapitzlist1"/>
        <w:widowControl w:val="false"/>
        <w:ind w:left="720" w:hanging="862"/>
        <w:jc w:val="both"/>
        <w:rPr>
          <w:rFonts w:ascii="Calibri Light" w:hAnsi="Calibri Light" w:eastAsia="SimSun" w:cs="Calibri Light" w:asciiTheme="majorHAnsi" w:cstheme="majorHAnsi" w:hAnsiTheme="majorHAnsi"/>
          <w:b/>
          <w:b/>
          <w:color w:val="000000"/>
          <w:u w:val="single"/>
        </w:rPr>
      </w:pPr>
      <w:r>
        <w:rPr>
          <w:rFonts w:eastAsia="SimSun" w:cs="Calibri Light" w:ascii="Calibri Light" w:hAnsi="Calibri Light" w:asciiTheme="majorHAnsi" w:cstheme="majorHAnsi" w:hAnsiTheme="majorHAnsi"/>
          <w:b/>
          <w:color w:val="000000"/>
        </w:rPr>
        <w:t>V. Dopuszczalność zmiany umowy</w:t>
      </w:r>
    </w:p>
    <w:p>
      <w:pPr>
        <w:pStyle w:val="ListParagraph"/>
        <w:numPr>
          <w:ilvl w:val="0"/>
          <w:numId w:val="8"/>
        </w:numPr>
        <w:tabs>
          <w:tab w:val="clear" w:pos="708"/>
          <w:tab w:val="left" w:pos="142" w:leader="none"/>
        </w:tabs>
        <w:spacing w:before="0" w:after="0"/>
        <w:ind w:left="-142" w:hanging="0"/>
        <w:contextualSpacing/>
        <w:jc w:val="both"/>
        <w:rPr>
          <w:rFonts w:ascii="Calibri Light" w:hAnsi="Calibri Light" w:cs="Calibri Light" w:asciiTheme="majorHAnsi" w:cstheme="majorHAnsi" w:hAnsiTheme="majorHAnsi"/>
          <w:color w:val="000000"/>
        </w:rPr>
      </w:pPr>
      <w:r>
        <w:rPr>
          <w:rFonts w:cs="Calibri Light" w:ascii="Calibri Light" w:hAnsi="Calibri Light" w:asciiTheme="majorHAnsi" w:cstheme="majorHAnsi" w:hAnsiTheme="majorHAnsi"/>
          <w:color w:val="000000"/>
        </w:rPr>
        <w:t>Zakazana jest istotna zmiana postanowień zawartej umowy w stosunku do treści oferty, na podstawie której dokonano wyboru Wykonawcy, z zastrzeżeniem ust. 2.</w:t>
      </w:r>
    </w:p>
    <w:p>
      <w:pPr>
        <w:pStyle w:val="ListParagraph"/>
        <w:numPr>
          <w:ilvl w:val="0"/>
          <w:numId w:val="8"/>
        </w:numPr>
        <w:tabs>
          <w:tab w:val="clear" w:pos="708"/>
          <w:tab w:val="left" w:pos="142" w:leader="none"/>
        </w:tabs>
        <w:spacing w:before="0" w:after="0"/>
        <w:ind w:left="-142" w:hanging="0"/>
        <w:contextualSpacing/>
        <w:jc w:val="both"/>
        <w:rPr>
          <w:rFonts w:ascii="Calibri Light" w:hAnsi="Calibri Light" w:cs="Calibri Light" w:asciiTheme="majorHAnsi" w:cstheme="majorHAnsi" w:hAnsiTheme="majorHAnsi"/>
          <w:color w:val="000000"/>
        </w:rPr>
      </w:pPr>
      <w:r>
        <w:rPr>
          <w:rFonts w:cs="Calibri Light" w:ascii="Calibri Light" w:hAnsi="Calibri Light" w:asciiTheme="majorHAnsi" w:cstheme="majorHAnsi" w:hAnsiTheme="majorHAnsi"/>
          <w:color w:val="000000"/>
        </w:rPr>
        <w:t xml:space="preserve">Zamawiający przewiduje możliwość zmiany postanowień zawartej umowy (w formie aneksu) </w:t>
        <w:br/>
        <w:t>w stosunku do treści oferty zgodnie z art. 455 ust. 1 ustawy Pzp w następujących przypadkach:</w:t>
      </w:r>
    </w:p>
    <w:p>
      <w:pPr>
        <w:pStyle w:val="Normal"/>
        <w:numPr>
          <w:ilvl w:val="0"/>
          <w:numId w:val="1"/>
        </w:numPr>
        <w:tabs>
          <w:tab w:val="clear" w:pos="708"/>
          <w:tab w:val="left" w:pos="142" w:leader="none"/>
        </w:tabs>
        <w:spacing w:lineRule="auto" w:line="276"/>
        <w:ind w:left="-142" w:hanging="0"/>
        <w:jc w:val="both"/>
        <w:rPr>
          <w:rFonts w:ascii="Calibri Light" w:hAnsi="Calibri Light" w:cs="Calibri Light" w:asciiTheme="majorHAnsi" w:cstheme="majorHAnsi" w:hAnsiTheme="majorHAnsi"/>
          <w:sz w:val="22"/>
          <w:szCs w:val="22"/>
        </w:rPr>
      </w:pPr>
      <w:r>
        <w:rPr>
          <w:rFonts w:cs="Calibri Light" w:ascii="Calibri Light" w:hAnsi="Calibri Light" w:asciiTheme="majorHAnsi" w:cstheme="majorHAnsi" w:hAnsiTheme="majorHAnsi"/>
          <w:sz w:val="22"/>
          <w:szCs w:val="22"/>
        </w:rPr>
        <w:t xml:space="preserve">zmiany w strukturze organizacyjnej Wykonawcy lub Zamawiającego dotyczące określonych w umowie </w:t>
      </w:r>
      <w:r>
        <w:rPr>
          <w:rFonts w:cs="Calibri Light" w:ascii="Calibri Light" w:hAnsi="Calibri Light" w:asciiTheme="majorHAnsi" w:cstheme="majorHAnsi" w:hAnsiTheme="majorHAnsi"/>
          <w:color w:val="000000"/>
          <w:sz w:val="22"/>
          <w:szCs w:val="22"/>
        </w:rPr>
        <w:t>nazw, adresów. Strony niezwłocznie poinformują się pisemnie o tych zmianach,</w:t>
      </w:r>
    </w:p>
    <w:p>
      <w:pPr>
        <w:pStyle w:val="Normal"/>
        <w:numPr>
          <w:ilvl w:val="0"/>
          <w:numId w:val="1"/>
        </w:numPr>
        <w:spacing w:lineRule="auto" w:line="276"/>
        <w:ind w:left="-142" w:hanging="0"/>
        <w:jc w:val="both"/>
        <w:rPr>
          <w:color w:val="000000"/>
        </w:rPr>
      </w:pPr>
      <w:r>
        <w:rPr>
          <w:rFonts w:cs="Calibri Light" w:ascii="Calibri Light" w:hAnsi="Calibri Light" w:asciiTheme="majorHAnsi" w:cstheme="majorHAnsi" w:hAnsiTheme="majorHAnsi"/>
          <w:color w:val="000000"/>
          <w:sz w:val="22"/>
          <w:szCs w:val="22"/>
        </w:rPr>
        <w:t xml:space="preserve"> </w:t>
      </w:r>
      <w:r>
        <w:rPr>
          <w:rFonts w:cs="Calibri Light" w:ascii="Calibri Light" w:hAnsi="Calibri Light" w:asciiTheme="majorHAnsi" w:cstheme="majorHAnsi" w:hAnsiTheme="majorHAnsi"/>
          <w:color w:val="000000"/>
          <w:sz w:val="22"/>
          <w:szCs w:val="22"/>
        </w:rPr>
        <w:t>zmiany ilości punktów odbioru</w:t>
      </w:r>
    </w:p>
    <w:p>
      <w:pPr>
        <w:pStyle w:val="Normal"/>
        <w:numPr>
          <w:ilvl w:val="0"/>
          <w:numId w:val="1"/>
        </w:numPr>
        <w:spacing w:lineRule="auto" w:line="276"/>
        <w:ind w:left="-142" w:hanging="0"/>
        <w:jc w:val="both"/>
        <w:rPr>
          <w:rFonts w:ascii="Calibri Light" w:hAnsi="Calibri Light" w:cs="Calibri Light" w:asciiTheme="majorHAnsi" w:cstheme="majorHAnsi" w:hAnsiTheme="majorHAnsi"/>
          <w:sz w:val="22"/>
          <w:szCs w:val="22"/>
        </w:rPr>
      </w:pPr>
      <w:r>
        <w:rPr>
          <w:rFonts w:cs="Calibri Light" w:ascii="Calibri Light" w:hAnsi="Calibri Light" w:asciiTheme="majorHAnsi" w:cstheme="majorHAnsi" w:hAnsiTheme="majorHAnsi"/>
          <w:color w:val="000000"/>
          <w:sz w:val="22"/>
          <w:szCs w:val="22"/>
        </w:rPr>
        <w:t xml:space="preserve">zmiany unormowań prawnych powszechnie obowiązujących np. w przypadku ustawowej zmiany stawki podatku VAT i wysokości podatku akcyzowego od gazu ziemnego. Zamawiający dopuszcza możliwość zmniejszenia lub zwiększenia wynagrodzenia o kwotę równą różnicy w kwocie podatku VAT. Strony dokonają odpowiedniej zmiany wynagrodzenia umownego - dotyczy to części wynagrodzenia za dostawy, których w dniu zmiany stawki podatku VAT czy podatku akcyzowego jeszcze nie wykonano, Zmiana obowiązywać będzie </w:t>
      </w:r>
      <w:r>
        <w:rPr>
          <w:rFonts w:cs="Calibri Light" w:ascii="Calibri Light" w:hAnsi="Calibri Light" w:asciiTheme="majorHAnsi" w:cstheme="majorHAnsi" w:hAnsiTheme="majorHAnsi"/>
          <w:bCs/>
          <w:sz w:val="22"/>
          <w:szCs w:val="22"/>
        </w:rPr>
        <w:t>od dnia wejścia w życie nowych przepisów i nie wymaga zgody Zamawiającego / aneksu do umowy / pisemnego zawiadomienia Zamawiającego.</w:t>
      </w:r>
    </w:p>
    <w:p>
      <w:pPr>
        <w:pStyle w:val="Normal"/>
        <w:numPr>
          <w:ilvl w:val="0"/>
          <w:numId w:val="1"/>
        </w:numPr>
        <w:spacing w:lineRule="auto" w:line="276"/>
        <w:ind w:left="-142" w:hanging="0"/>
        <w:jc w:val="both"/>
        <w:rPr>
          <w:rFonts w:ascii="Calibri Light" w:hAnsi="Calibri Light" w:cs="Calibri Light" w:asciiTheme="majorHAnsi" w:cstheme="majorHAnsi" w:hAnsiTheme="majorHAnsi"/>
          <w:sz w:val="22"/>
          <w:szCs w:val="22"/>
        </w:rPr>
      </w:pPr>
      <w:r>
        <w:rPr>
          <w:rFonts w:cs="Calibri Light" w:ascii="Calibri Light" w:hAnsi="Calibri Light" w:asciiTheme="majorHAnsi" w:cstheme="majorHAnsi" w:hAnsiTheme="majorHAnsi"/>
          <w:color w:val="000000"/>
          <w:sz w:val="22"/>
          <w:szCs w:val="22"/>
        </w:rPr>
        <w:t xml:space="preserve">  </w:t>
      </w:r>
      <w:r>
        <w:rPr>
          <w:rFonts w:cs="Calibri Light" w:ascii="Calibri Light" w:hAnsi="Calibri Light" w:asciiTheme="majorHAnsi" w:cstheme="majorHAnsi" w:hAnsiTheme="majorHAnsi"/>
          <w:color w:val="000000"/>
          <w:sz w:val="22"/>
          <w:szCs w:val="22"/>
        </w:rPr>
        <w:t xml:space="preserve">zmiana ceny ofertowej w przypadku zmiany </w:t>
      </w:r>
      <w:r>
        <w:rPr>
          <w:rFonts w:cs="Calibri Light" w:ascii="Calibri Light" w:hAnsi="Calibri Light" w:asciiTheme="majorHAnsi" w:cstheme="majorHAnsi" w:hAnsiTheme="majorHAnsi"/>
          <w:sz w:val="22"/>
          <w:szCs w:val="22"/>
        </w:rPr>
        <w:t>opłaty stałej za usługę sieciową</w:t>
      </w:r>
      <w:r>
        <w:rPr>
          <w:rFonts w:cs="Calibri Light" w:ascii="Calibri Light" w:hAnsi="Calibri Light" w:asciiTheme="majorHAnsi" w:cstheme="majorHAnsi" w:hAnsiTheme="majorHAnsi"/>
          <w:color w:val="000000"/>
          <w:sz w:val="22"/>
          <w:szCs w:val="22"/>
        </w:rPr>
        <w:t xml:space="preserve"> i </w:t>
      </w:r>
      <w:r>
        <w:rPr>
          <w:rFonts w:cs="Calibri Light" w:ascii="Calibri Light" w:hAnsi="Calibri Light" w:asciiTheme="majorHAnsi" w:cstheme="majorHAnsi" w:hAnsiTheme="majorHAnsi"/>
          <w:sz w:val="22"/>
          <w:szCs w:val="22"/>
        </w:rPr>
        <w:t xml:space="preserve">opłaty zmiennej za usługę sieciową </w:t>
      </w:r>
      <w:r>
        <w:rPr>
          <w:rFonts w:cs="Calibri Light" w:ascii="Calibri Light" w:hAnsi="Calibri Light" w:asciiTheme="majorHAnsi" w:cstheme="majorHAnsi" w:hAnsiTheme="majorHAnsi"/>
          <w:color w:val="000000"/>
          <w:sz w:val="22"/>
          <w:szCs w:val="22"/>
        </w:rPr>
        <w:t xml:space="preserve">w przypadku zmiany Taryfy Operatora Systemu Dystrybucyjnego zatwierdzonej przez Prezesa Urzędu Regulacji Energetyki, po uprzednim pisemnym zawiadomieniu Zamawiającego wraz z dołączeniem Taryfy cen i opłat. Zmiana obowiązywać będzie </w:t>
      </w:r>
      <w:r>
        <w:rPr>
          <w:rFonts w:cs="Calibri Light" w:ascii="Calibri Light" w:hAnsi="Calibri Light" w:asciiTheme="majorHAnsi" w:cstheme="majorHAnsi" w:hAnsiTheme="majorHAnsi"/>
          <w:bCs/>
          <w:sz w:val="22"/>
          <w:szCs w:val="22"/>
        </w:rPr>
        <w:t>od dnia wejścia w życie nowych przepisów i nie wymaga zgody Zamawiającego / aneksu do umowy / pisemnego zawiadomienia Zamawiającego</w:t>
      </w:r>
    </w:p>
    <w:p>
      <w:pPr>
        <w:pStyle w:val="Normal"/>
        <w:numPr>
          <w:ilvl w:val="0"/>
          <w:numId w:val="1"/>
        </w:numPr>
        <w:spacing w:lineRule="auto" w:line="276"/>
        <w:ind w:left="-142" w:hanging="0"/>
        <w:jc w:val="both"/>
        <w:rPr>
          <w:rFonts w:ascii="Calibri Light" w:hAnsi="Calibri Light" w:cs="Calibri Light" w:asciiTheme="majorHAnsi" w:cstheme="majorHAnsi" w:hAnsiTheme="majorHAnsi"/>
          <w:sz w:val="22"/>
          <w:szCs w:val="22"/>
        </w:rPr>
      </w:pPr>
      <w:r>
        <w:rPr>
          <w:rFonts w:cs="Calibri Light" w:ascii="Calibri Light" w:hAnsi="Calibri Light" w:asciiTheme="majorHAnsi" w:cstheme="majorHAnsi" w:hAnsiTheme="majorHAnsi"/>
          <w:sz w:val="22"/>
          <w:szCs w:val="22"/>
        </w:rPr>
        <w:t xml:space="preserve">  </w:t>
      </w:r>
      <w:r>
        <w:rPr>
          <w:rFonts w:cs="Calibri Light" w:ascii="Calibri Light" w:hAnsi="Calibri Light" w:asciiTheme="majorHAnsi" w:cstheme="majorHAnsi" w:hAnsiTheme="majorHAnsi"/>
          <w:sz w:val="22"/>
          <w:szCs w:val="22"/>
        </w:rPr>
        <w:t xml:space="preserve">zmiany mocy umownej w przypadku gdy w czasie trwania umowy zwiększyłoby się lub zmniejszyło zapotrzebowanie na moc w związku ze zmianą charakteru obiektu lub jego modernizacji, po wyrażeniu zgody przez OSD. </w:t>
      </w:r>
    </w:p>
    <w:p>
      <w:pPr>
        <w:pStyle w:val="Normal"/>
        <w:numPr>
          <w:ilvl w:val="0"/>
          <w:numId w:val="1"/>
        </w:numPr>
        <w:tabs>
          <w:tab w:val="clear" w:pos="708"/>
          <w:tab w:val="left" w:pos="142" w:leader="none"/>
        </w:tabs>
        <w:spacing w:lineRule="auto" w:line="276"/>
        <w:ind w:left="-142" w:hanging="0"/>
        <w:jc w:val="both"/>
        <w:rPr>
          <w:rFonts w:ascii="Calibri Light" w:hAnsi="Calibri Light" w:cs="Calibri Light" w:asciiTheme="majorHAnsi" w:cstheme="majorHAnsi" w:hAnsiTheme="majorHAnsi"/>
          <w:sz w:val="22"/>
          <w:szCs w:val="22"/>
        </w:rPr>
      </w:pPr>
      <w:r>
        <w:rPr>
          <w:rFonts w:cs="Calibri Light" w:ascii="Calibri Light" w:hAnsi="Calibri Light" w:asciiTheme="majorHAnsi" w:cstheme="majorHAnsi" w:hAnsiTheme="majorHAnsi"/>
          <w:sz w:val="22"/>
          <w:szCs w:val="22"/>
        </w:rPr>
        <w:t xml:space="preserve">ceny jednostkowe netto dla części zużycia objętej podatkiem akcyzowym będą podlegały zmianie tylko w przypadku ustawowej zmiany opodatkowania gazu ziemnego podatkiem akcyzowym. Wykonawca jest zobowiązany na piśmie poinformować Zamawiającego o zmianie podatku akcyzowego oraz o jego </w:t>
      </w:r>
      <w:r>
        <w:rPr>
          <w:rFonts w:cs="Calibri Light" w:ascii="Calibri Light" w:hAnsi="Calibri Light" w:asciiTheme="majorHAnsi" w:cstheme="majorHAnsi" w:hAnsiTheme="majorHAnsi"/>
          <w:sz w:val="22"/>
          <w:szCs w:val="22"/>
          <w:shd w:fill="auto" w:val="clear"/>
        </w:rPr>
        <w:t xml:space="preserve">wysokości. Dla części zużycia zwolnionej z akcyzy ceny jednostkowe netto nie ulegną zmianie. </w:t>
      </w:r>
    </w:p>
    <w:p>
      <w:pPr>
        <w:pStyle w:val="ListParagraph"/>
        <w:numPr>
          <w:ilvl w:val="0"/>
          <w:numId w:val="1"/>
        </w:numPr>
        <w:spacing w:before="0" w:after="0"/>
        <w:ind w:left="-142" w:hanging="0"/>
        <w:contextualSpacing/>
        <w:jc w:val="both"/>
        <w:rPr>
          <w:shd w:fill="auto" w:val="clear"/>
        </w:rPr>
      </w:pPr>
      <w:r>
        <w:rPr>
          <w:rFonts w:cs="Calibri Light" w:ascii="Calibri Light" w:hAnsi="Calibri Light" w:asciiTheme="majorHAnsi" w:cstheme="majorHAnsi" w:hAnsiTheme="majorHAnsi"/>
          <w:shd w:fill="auto" w:val="clear"/>
        </w:rPr>
        <w:t>z przyczyn formalno-prawnych, Zamawiający dopuszcza zmianę terminu rozpoczęcia wykonania zamówienia z zastrzeżeniem granicznego terminu wykonania zamówienia do 31.12.2029 r., jednak nie wcześniej niż po skutecznym rozwiązaniu umowy, na podstawie której dotychczas Zamawiający miał dostarczane paliwo gazowe oraz skutecznym przeprowadzeniu procesu zmiany sprzedawcy u Operatora Systemu Dystrybucyjnego.</w:t>
      </w:r>
    </w:p>
    <w:p>
      <w:pPr>
        <w:pStyle w:val="ListParagraph"/>
        <w:numPr>
          <w:ilvl w:val="0"/>
          <w:numId w:val="1"/>
        </w:numPr>
        <w:spacing w:before="0" w:after="0"/>
        <w:ind w:left="-142" w:hanging="0"/>
        <w:contextualSpacing/>
        <w:jc w:val="both"/>
        <w:rPr>
          <w:rFonts w:ascii="Calibri Light" w:hAnsi="Calibri Light" w:cs="Calibri Light" w:asciiTheme="majorHAnsi" w:cstheme="majorHAnsi" w:hAnsiTheme="majorHAnsi"/>
        </w:rPr>
      </w:pPr>
      <w:r>
        <w:rPr>
          <w:rFonts w:cs="Calibri Light" w:ascii="Calibri Light" w:hAnsi="Calibri Light" w:asciiTheme="majorHAnsi" w:cstheme="majorHAnsi" w:hAnsiTheme="majorHAnsi"/>
          <w:shd w:fill="auto" w:val="clear"/>
        </w:rPr>
        <w:t>Zamawiający dopuszcza zmianę wysokości wynagrodzenia należnego Wykonawcy w przypadku wystąpienia zmian o których mowa w art. 436 pkt 4 lit. b Ustawy Pzp jeżeli zmiany te będą miały wpływ na koszty wyk</w:t>
      </w:r>
      <w:r>
        <w:rPr>
          <w:rFonts w:cs="Calibri Light" w:ascii="Calibri Light" w:hAnsi="Calibri Light" w:asciiTheme="majorHAnsi" w:cstheme="majorHAnsi" w:hAnsiTheme="majorHAnsi"/>
        </w:rPr>
        <w:t xml:space="preserve">onania zamówienia przez Wykonawcę. </w:t>
      </w:r>
    </w:p>
    <w:p>
      <w:pPr>
        <w:pStyle w:val="Normal"/>
        <w:spacing w:lineRule="auto" w:line="276"/>
        <w:ind w:left="-142" w:hanging="0"/>
        <w:jc w:val="both"/>
        <w:rPr>
          <w:rFonts w:ascii="Calibri Light" w:hAnsi="Calibri Light" w:cs="Calibri Light" w:asciiTheme="majorHAnsi" w:cstheme="majorHAnsi" w:hAnsiTheme="majorHAnsi"/>
          <w:sz w:val="22"/>
          <w:szCs w:val="22"/>
        </w:rPr>
      </w:pPr>
      <w:r>
        <w:rPr>
          <w:rFonts w:cs="Calibri Light" w:ascii="Calibri Light" w:hAnsi="Calibri Light" w:asciiTheme="majorHAnsi" w:cstheme="majorHAnsi" w:hAnsiTheme="majorHAnsi"/>
          <w:sz w:val="22"/>
          <w:szCs w:val="22"/>
        </w:rPr>
        <w:t xml:space="preserve">Zmiana wysokości wynagrodzenia nastąpi, jeżeli strona Umowy, która wnioskuje o tę zmianę </w:t>
        <w:br/>
        <w:t>w przedstawionej kalkulacji kosztów wykonania zadania wykaże wpływ zmian, o których mowa w art. 436 pkt 4 lit. b Ustawy Pzp na koszty wykonania zadania.</w:t>
      </w:r>
    </w:p>
    <w:p>
      <w:pPr>
        <w:pStyle w:val="Normal"/>
        <w:spacing w:lineRule="auto" w:line="276"/>
        <w:ind w:left="-142" w:hanging="0"/>
        <w:jc w:val="both"/>
        <w:rPr>
          <w:rFonts w:ascii="Calibri Light" w:hAnsi="Calibri Light" w:cs="Calibri Light" w:asciiTheme="majorHAnsi" w:cstheme="majorHAnsi" w:hAnsiTheme="majorHAnsi"/>
          <w:sz w:val="22"/>
          <w:szCs w:val="22"/>
        </w:rPr>
      </w:pPr>
      <w:r>
        <w:rPr>
          <w:rFonts w:cs="Calibri Light" w:ascii="Calibri Light" w:hAnsi="Calibri Light" w:asciiTheme="majorHAnsi" w:cstheme="majorHAnsi" w:hAnsiTheme="majorHAnsi"/>
          <w:sz w:val="22"/>
          <w:szCs w:val="22"/>
        </w:rPr>
        <w:t xml:space="preserve">Zmiana wysokości wynagrodzenia o których mowa w art. 436 pkt 4 lit. b Ustawy Pzp nastąpi w formie aneksu do Umowy kompleksowej dostawy gazu ziemnego, który obowiązywał będzie od dnia wejścia </w:t>
        <w:br/>
      </w:r>
      <w:r>
        <w:rPr>
          <w:rFonts w:cs="Calibri Light" w:ascii="Calibri Light" w:hAnsi="Calibri Light" w:asciiTheme="majorHAnsi" w:cstheme="majorHAnsi" w:hAnsiTheme="majorHAnsi"/>
          <w:color w:val="000000"/>
          <w:sz w:val="22"/>
          <w:szCs w:val="22"/>
        </w:rPr>
        <w:t>w życie przepisów, na podstawie których dokonane zostaną zmiany o których mowa w art. 436 pkt 4 lit. b Ustawy Pzp.</w:t>
      </w:r>
      <w:bookmarkStart w:id="2" w:name="_Hlk66275905"/>
      <w:bookmarkEnd w:id="2"/>
    </w:p>
    <w:p>
      <w:pPr>
        <w:pStyle w:val="Tretekstu"/>
        <w:numPr>
          <w:ilvl w:val="0"/>
          <w:numId w:val="7"/>
        </w:numPr>
        <w:tabs>
          <w:tab w:val="clear" w:pos="708"/>
          <w:tab w:val="left" w:pos="142" w:leader="none"/>
        </w:tabs>
        <w:spacing w:lineRule="auto" w:line="276" w:before="0" w:after="0"/>
        <w:ind w:left="-142" w:hanging="0"/>
        <w:jc w:val="both"/>
        <w:rPr>
          <w:color w:val="000000"/>
        </w:rPr>
      </w:pPr>
      <w:r>
        <w:rPr>
          <w:rFonts w:cs="Calibri Light" w:ascii="Calibri Light" w:hAnsi="Calibri Light" w:asciiTheme="majorHAnsi" w:cstheme="majorHAnsi" w:hAnsiTheme="majorHAnsi"/>
          <w:color w:val="000000"/>
          <w:sz w:val="22"/>
          <w:szCs w:val="22"/>
          <w:lang w:val="pl-PL"/>
        </w:rPr>
        <w:t>Zmiany dokonywane będą na pisemny wniosek Wykonawcy lub Zamawiającego zawierający uzasadnienie dla ich wprowadzenia.</w:t>
      </w:r>
    </w:p>
    <w:p>
      <w:pPr>
        <w:pStyle w:val="Normal"/>
        <w:spacing w:lineRule="auto" w:line="276" w:before="120" w:after="120"/>
        <w:ind w:left="-142" w:hanging="0"/>
        <w:jc w:val="both"/>
        <w:rPr>
          <w:color w:val="000000"/>
        </w:rPr>
      </w:pPr>
      <w:r>
        <w:rPr>
          <w:rFonts w:cs="Calibri Light" w:ascii="Calibri Light" w:hAnsi="Calibri Light" w:asciiTheme="majorHAnsi" w:cstheme="majorHAnsi" w:hAnsiTheme="majorHAnsi"/>
          <w:b/>
          <w:color w:val="000000"/>
          <w:sz w:val="22"/>
          <w:szCs w:val="22"/>
        </w:rPr>
        <w:t>VI. Waloryzacja</w:t>
      </w:r>
    </w:p>
    <w:p>
      <w:pPr>
        <w:pStyle w:val="Normal"/>
        <w:spacing w:lineRule="auto" w:line="276"/>
        <w:ind w:left="-142" w:hanging="0"/>
        <w:jc w:val="both"/>
        <w:rPr>
          <w:rFonts w:ascii="Calibri Light" w:hAnsi="Calibri Light" w:cs="Calibri Light" w:asciiTheme="majorHAnsi" w:cstheme="majorHAnsi" w:hAnsiTheme="majorHAnsi"/>
          <w:bCs/>
          <w:sz w:val="22"/>
          <w:szCs w:val="22"/>
        </w:rPr>
      </w:pPr>
      <w:r>
        <w:rPr>
          <w:rFonts w:cs="Calibri Light" w:ascii="Calibri Light" w:hAnsi="Calibri Light" w:asciiTheme="majorHAnsi" w:cstheme="majorHAnsi" w:hAnsiTheme="majorHAnsi"/>
          <w:bCs/>
          <w:color w:val="000000"/>
          <w:sz w:val="22"/>
          <w:szCs w:val="22"/>
        </w:rPr>
        <w:t>Zmiana</w:t>
      </w:r>
      <w:r>
        <w:rPr>
          <w:rFonts w:cs="Calibri Light" w:ascii="Calibri Light" w:hAnsi="Calibri Light" w:asciiTheme="majorHAnsi" w:cstheme="majorHAnsi" w:hAnsiTheme="majorHAnsi"/>
          <w:bCs/>
          <w:sz w:val="22"/>
          <w:szCs w:val="22"/>
        </w:rPr>
        <w:t xml:space="preserve"> wysokości wynagrodzenia w przypadku zmiany ceny materiałów lub kosztów związanych </w:t>
        <w:br/>
        <w:t>z realizacją przedmiotu umowy:</w:t>
      </w:r>
    </w:p>
    <w:p>
      <w:pPr>
        <w:pStyle w:val="Normal"/>
        <w:spacing w:lineRule="auto" w:line="276"/>
        <w:ind w:left="-142" w:hanging="0"/>
        <w:jc w:val="both"/>
        <w:rPr>
          <w:rFonts w:ascii="Calibri Light" w:hAnsi="Calibri Light" w:cs="Calibri Light" w:asciiTheme="majorHAnsi" w:cstheme="majorHAnsi" w:hAnsiTheme="majorHAnsi"/>
          <w:bCs/>
          <w:sz w:val="22"/>
          <w:szCs w:val="22"/>
        </w:rPr>
      </w:pPr>
      <w:r>
        <w:rPr>
          <w:rFonts w:cs="Calibri Light" w:ascii="Calibri Light" w:hAnsi="Calibri Light" w:asciiTheme="majorHAnsi" w:cstheme="majorHAnsi" w:hAnsiTheme="majorHAnsi"/>
          <w:bCs/>
          <w:sz w:val="22"/>
          <w:szCs w:val="22"/>
        </w:rPr>
        <w:t xml:space="preserve">1. Na podstawie art. 439 Ustawy Pzp Strony dopuszczają zmianę wynagrodzenia Wykonawcy. Strony przewidują możliwość zmiany stawki jednostkowej za kWh pobranego paliwa gazowego w odniesieniu do wolumenu nie objętego ochroną taryfową, w związku ze wzrostem cen paliwa gazowego, które Wykonawca musi zakupić w celu zrealizowania przedmiotu zamówienia. </w:t>
      </w:r>
    </w:p>
    <w:p>
      <w:pPr>
        <w:pStyle w:val="Normal"/>
        <w:spacing w:lineRule="auto" w:line="276"/>
        <w:ind w:left="-142" w:hanging="0"/>
        <w:jc w:val="both"/>
        <w:rPr>
          <w:rFonts w:ascii="Calibri Light" w:hAnsi="Calibri Light" w:cs="Calibri Light" w:asciiTheme="majorHAnsi" w:cstheme="majorHAnsi" w:hAnsiTheme="majorHAnsi"/>
          <w:bCs/>
          <w:sz w:val="22"/>
          <w:szCs w:val="22"/>
        </w:rPr>
      </w:pPr>
      <w:r>
        <w:rPr>
          <w:rFonts w:cs="Calibri Light" w:ascii="Calibri Light" w:hAnsi="Calibri Light" w:asciiTheme="majorHAnsi" w:cstheme="majorHAnsi" w:hAnsiTheme="majorHAnsi"/>
          <w:bCs/>
          <w:sz w:val="22"/>
          <w:szCs w:val="22"/>
        </w:rPr>
        <w:t xml:space="preserve">2. Waloryzacja nie dotyczy cen jednostkowych stosowanych do rozliczeń i zawartych w taryfach dystrybucyjnych i sprzedażowych zatwierdzonych przez Prezesa URE. </w:t>
      </w:r>
    </w:p>
    <w:p>
      <w:pPr>
        <w:pStyle w:val="Normal"/>
        <w:spacing w:lineRule="auto" w:line="276"/>
        <w:ind w:left="-142" w:hanging="0"/>
        <w:jc w:val="both"/>
        <w:rPr>
          <w:rFonts w:ascii="Calibri Light" w:hAnsi="Calibri Light" w:cs="Calibri Light" w:asciiTheme="majorHAnsi" w:cstheme="majorHAnsi" w:hAnsiTheme="majorHAnsi"/>
          <w:bCs/>
          <w:sz w:val="22"/>
          <w:szCs w:val="22"/>
        </w:rPr>
      </w:pPr>
      <w:r>
        <w:rPr>
          <w:rFonts w:cs="Calibri Light" w:ascii="Calibri Light" w:hAnsi="Calibri Light" w:asciiTheme="majorHAnsi" w:cstheme="majorHAnsi" w:hAnsiTheme="majorHAnsi"/>
          <w:bCs/>
          <w:sz w:val="22"/>
          <w:szCs w:val="22"/>
        </w:rPr>
        <w:t xml:space="preserve">3. Strony zgodnie oświadczają, że waloryzacja wynagrodzenia o której mowa poniżej nie będzie miała zastosowania, gdy Wykonawca dokonał zakupu gazu ziemnego z góry dla całego okresu zamówienia wynikającego z niniejszej Umowy, wobec powyższego zmiana cen gazu ziemnego nie będzie miała wypływu na wartość wynagrodzenia. </w:t>
      </w:r>
    </w:p>
    <w:p>
      <w:pPr>
        <w:pStyle w:val="Normal"/>
        <w:spacing w:lineRule="auto" w:line="276"/>
        <w:ind w:left="-142" w:hanging="0"/>
        <w:jc w:val="both"/>
        <w:rPr>
          <w:rFonts w:ascii="Calibri Light" w:hAnsi="Calibri Light" w:cs="Calibri Light" w:asciiTheme="majorHAnsi" w:cstheme="majorHAnsi" w:hAnsiTheme="majorHAnsi"/>
          <w:bCs/>
          <w:sz w:val="22"/>
          <w:szCs w:val="22"/>
        </w:rPr>
      </w:pPr>
      <w:r>
        <w:rPr>
          <w:rFonts w:cs="Calibri Light" w:ascii="Calibri Light" w:hAnsi="Calibri Light" w:asciiTheme="majorHAnsi" w:cstheme="majorHAnsi" w:hAnsiTheme="majorHAnsi"/>
          <w:bCs/>
          <w:sz w:val="22"/>
          <w:szCs w:val="22"/>
        </w:rPr>
        <w:t xml:space="preserve">4.  Wykonawca oświadczył/nie oświadczył*, że do dnia zawarcia przedmiotowej umowy dokona zakupu gazu ziemnego w wysokości 100% (wielkość procentowa) na zasadach złożonej oferty. </w:t>
      </w:r>
    </w:p>
    <w:p>
      <w:pPr>
        <w:pStyle w:val="Normal"/>
        <w:spacing w:lineRule="auto" w:line="276"/>
        <w:ind w:left="-142" w:hanging="0"/>
        <w:jc w:val="both"/>
        <w:rPr>
          <w:rFonts w:ascii="Calibri Light" w:hAnsi="Calibri Light" w:cs="Calibri Light" w:asciiTheme="majorHAnsi" w:cstheme="majorHAnsi" w:hAnsiTheme="majorHAnsi"/>
          <w:bCs/>
          <w:sz w:val="22"/>
          <w:szCs w:val="22"/>
        </w:rPr>
      </w:pPr>
      <w:r>
        <w:rPr>
          <w:rFonts w:cs="Calibri Light" w:ascii="Calibri Light" w:hAnsi="Calibri Light" w:asciiTheme="majorHAnsi" w:cstheme="majorHAnsi" w:hAnsiTheme="majorHAnsi"/>
          <w:bCs/>
          <w:sz w:val="22"/>
          <w:szCs w:val="22"/>
        </w:rPr>
        <w:t xml:space="preserve">5. Warunkiem zastosowania mechanizmu waloryzacji jest złożenie przez Stronę wniosku o zmianę stawki jednostkowej za 1 kWh paliwa gazowego dostarczonego odbiorcy, który nie jest objęty ochroną taryfową, w związku ze zmianą hurtowych cen gazu ziemnego, ze wskazaniem proponowanej zwaloryzowanej stawki, przy czym pierwszy wniosek może zostać złożony nie wcześniej niż po 6 miesiącach realizowania dostaw w ramach Umowy.  </w:t>
      </w:r>
    </w:p>
    <w:p>
      <w:pPr>
        <w:pStyle w:val="Normal"/>
        <w:spacing w:lineRule="auto" w:line="276"/>
        <w:ind w:left="-142" w:hanging="0"/>
        <w:jc w:val="both"/>
        <w:rPr>
          <w:rFonts w:ascii="Calibri Light" w:hAnsi="Calibri Light" w:cs="Calibri Light" w:asciiTheme="majorHAnsi" w:cstheme="majorHAnsi" w:hAnsiTheme="majorHAnsi"/>
          <w:bCs/>
          <w:sz w:val="22"/>
          <w:szCs w:val="22"/>
        </w:rPr>
      </w:pPr>
      <w:r>
        <w:rPr>
          <w:rFonts w:cs="Calibri Light" w:ascii="Calibri Light" w:hAnsi="Calibri Light" w:asciiTheme="majorHAnsi" w:cstheme="majorHAnsi" w:hAnsiTheme="majorHAnsi"/>
          <w:bCs/>
          <w:sz w:val="22"/>
          <w:szCs w:val="22"/>
        </w:rPr>
        <w:t xml:space="preserve">6. Strona składając wniosek o zmianę powinna przedstawić w szczególności wyliczenie wnioskowanej kwoty zmiany wynagrodzenia oraz dowody na to, że zmiana ceny paliwa gazowego na TGE wpływa na koszt realizacji zamówienia. </w:t>
      </w:r>
    </w:p>
    <w:p>
      <w:pPr>
        <w:pStyle w:val="Normal"/>
        <w:spacing w:lineRule="auto" w:line="276"/>
        <w:ind w:left="-142" w:hanging="0"/>
        <w:jc w:val="both"/>
        <w:rPr>
          <w:rFonts w:ascii="Calibri Light" w:hAnsi="Calibri Light" w:cs="Calibri Light" w:asciiTheme="majorHAnsi" w:cstheme="majorHAnsi" w:hAnsiTheme="majorHAnsi"/>
          <w:bCs/>
          <w:sz w:val="22"/>
          <w:szCs w:val="22"/>
        </w:rPr>
      </w:pPr>
      <w:r>
        <w:rPr>
          <w:rFonts w:cs="Calibri Light" w:ascii="Calibri Light" w:hAnsi="Calibri Light" w:asciiTheme="majorHAnsi" w:cstheme="majorHAnsi" w:hAnsiTheme="majorHAnsi"/>
          <w:bCs/>
          <w:sz w:val="22"/>
          <w:szCs w:val="22"/>
        </w:rPr>
        <w:t xml:space="preserve">7. Zmiana wynagrodzenia w oparciu o niniejszy ustęp wymaga zgodnej woli obu stron wyrażonej aneksem do umowy przy czym Strona rozpatrująca zobowiązana jest rozpatrzyć wniosek Strony wnioskującej w terminie do 7 dni od daty wpływu (również w postaci elektronicznej). </w:t>
      </w:r>
    </w:p>
    <w:p>
      <w:pPr>
        <w:pStyle w:val="Normal"/>
        <w:spacing w:lineRule="auto" w:line="276"/>
        <w:ind w:left="-142" w:hanging="0"/>
        <w:jc w:val="both"/>
        <w:rPr>
          <w:rFonts w:ascii="Calibri Light" w:hAnsi="Calibri Light" w:cs="Calibri Light" w:asciiTheme="majorHAnsi" w:cstheme="majorHAnsi" w:hAnsiTheme="majorHAnsi"/>
          <w:bCs/>
          <w:sz w:val="22"/>
          <w:szCs w:val="22"/>
        </w:rPr>
      </w:pPr>
      <w:r>
        <w:rPr>
          <w:rFonts w:cs="Calibri Light" w:ascii="Calibri Light" w:hAnsi="Calibri Light" w:asciiTheme="majorHAnsi" w:cstheme="majorHAnsi" w:hAnsiTheme="majorHAnsi"/>
          <w:bCs/>
          <w:sz w:val="22"/>
          <w:szCs w:val="22"/>
        </w:rPr>
        <w:t>8. Zmiana wysokości cen jednostkowych nastąpi z dniem podpisania aneksu.</w:t>
      </w:r>
    </w:p>
    <w:p>
      <w:pPr>
        <w:pStyle w:val="Normal"/>
        <w:spacing w:lineRule="auto" w:line="276" w:before="120" w:after="120"/>
        <w:ind w:left="-142" w:hanging="0"/>
        <w:jc w:val="both"/>
        <w:rPr>
          <w:rFonts w:ascii="Calibri Light" w:hAnsi="Calibri Light" w:cs="Calibri Light" w:asciiTheme="majorHAnsi" w:cstheme="majorHAnsi" w:hAnsiTheme="majorHAnsi"/>
          <w:b/>
          <w:b/>
          <w:sz w:val="22"/>
          <w:szCs w:val="22"/>
          <w:u w:val="single"/>
        </w:rPr>
      </w:pPr>
      <w:r>
        <w:rPr>
          <w:rFonts w:cs="Calibri Light" w:ascii="Calibri Light" w:hAnsi="Calibri Light" w:asciiTheme="majorHAnsi" w:cstheme="majorHAnsi" w:hAnsiTheme="majorHAnsi"/>
          <w:b/>
          <w:sz w:val="22"/>
          <w:szCs w:val="22"/>
        </w:rPr>
        <w:t>VII. Rozwiązanie umowy</w:t>
      </w:r>
    </w:p>
    <w:p>
      <w:pPr>
        <w:pStyle w:val="ListParagraph"/>
        <w:numPr>
          <w:ilvl w:val="0"/>
          <w:numId w:val="0"/>
        </w:numPr>
        <w:tabs>
          <w:tab w:val="clear" w:pos="708"/>
          <w:tab w:val="left" w:pos="284" w:leader="none"/>
        </w:tabs>
        <w:spacing w:before="0" w:after="0"/>
        <w:ind w:left="578" w:hanging="0"/>
        <w:contextualSpacing/>
        <w:jc w:val="both"/>
        <w:rPr>
          <w:rFonts w:ascii="Calibri Light" w:hAnsi="Calibri Light" w:cs="Calibri Light" w:asciiTheme="majorHAnsi" w:cstheme="majorHAnsi" w:hAnsiTheme="majorHAnsi"/>
          <w:strike/>
        </w:rPr>
      </w:pPr>
      <w:r>
        <w:rPr>
          <w:rFonts w:cs="Calibri Light" w:ascii="Calibri Light" w:hAnsi="Calibri Light" w:asciiTheme="majorHAnsi" w:cstheme="majorHAnsi" w:hAnsiTheme="majorHAnsi"/>
        </w:rPr>
        <w:t xml:space="preserve">1. Rozwiązanie Umowy kompleksowej może nastąpić za wypowiedzeniem przez każdą ze stron </w:t>
        <w:br/>
        <w:t xml:space="preserve">z zachowaniem siedmiodniowego (7) okresu wypowiedzenia w przypadku rażącego naruszania postanowień Umowy lub istotnych postanowień IRIESD przez drugą stronę, pomimo uprzedniego wezwania jej do zaniechania naruszeń i usunięcia ich skutków w wyznaczonym terminie. </w:t>
      </w:r>
    </w:p>
    <w:p>
      <w:pPr>
        <w:pStyle w:val="ListParagraph"/>
        <w:numPr>
          <w:ilvl w:val="0"/>
          <w:numId w:val="0"/>
        </w:numPr>
        <w:tabs>
          <w:tab w:val="clear" w:pos="708"/>
          <w:tab w:val="left" w:pos="284" w:leader="none"/>
        </w:tabs>
        <w:spacing w:before="0" w:after="0"/>
        <w:ind w:left="578" w:hanging="0"/>
        <w:contextualSpacing/>
        <w:jc w:val="both"/>
        <w:rPr>
          <w:rFonts w:ascii="Calibri Light" w:hAnsi="Calibri Light" w:cs="Calibri Light" w:asciiTheme="majorHAnsi" w:cstheme="majorHAnsi" w:hAnsiTheme="majorHAnsi"/>
          <w:strike/>
        </w:rPr>
      </w:pPr>
      <w:r>
        <w:rPr>
          <w:rFonts w:cs="Calibri Light" w:ascii="Calibri Light" w:hAnsi="Calibri Light" w:asciiTheme="majorHAnsi" w:cstheme="majorHAnsi" w:hAnsiTheme="majorHAnsi"/>
        </w:rPr>
        <w:t>2. W razie utraty przez Zamawiającego tytułu prawnego do któregokolwiek z miejsc odbioru, do których dostarczane jest paliwo gazowe przez Wykonawcę, Zamawiający może rozwiązać niniejszą umowę w trybie natychmiastowym jedynie w części dotyczącej dostarczania i sprzedaży paliwa gazowego do miejsca odbioru, w odniesieniu do którego Zamawiający utracił tytuł prawny, zaś w pozostałym zakresie Umowa będzie nadal wiązać strony. Oświadczenie o rozwiązaniu umowy wymaga zachowania formy pisemnej pod rygorem nieważności.</w:t>
      </w:r>
    </w:p>
    <w:p>
      <w:pPr>
        <w:pStyle w:val="ListParagraph"/>
        <w:numPr>
          <w:ilvl w:val="0"/>
          <w:numId w:val="0"/>
        </w:numPr>
        <w:tabs>
          <w:tab w:val="clear" w:pos="708"/>
          <w:tab w:val="left" w:pos="284" w:leader="none"/>
          <w:tab w:val="left" w:pos="426" w:leader="none"/>
        </w:tabs>
        <w:spacing w:before="0" w:after="0"/>
        <w:ind w:left="578" w:hanging="0"/>
        <w:contextualSpacing/>
        <w:jc w:val="both"/>
        <w:rPr>
          <w:rFonts w:ascii="Calibri Light" w:hAnsi="Calibri Light" w:cs="Calibri Light" w:asciiTheme="majorHAnsi" w:cstheme="majorHAnsi" w:hAnsiTheme="majorHAnsi"/>
        </w:rPr>
      </w:pPr>
      <w:r>
        <w:rPr>
          <w:rFonts w:cs="Calibri Light" w:ascii="Calibri Light" w:hAnsi="Calibri Light" w:asciiTheme="majorHAnsi" w:cstheme="majorHAnsi" w:hAnsiTheme="majorHAnsi"/>
        </w:rPr>
        <w:t>3. Rozwiązanie Umowy kompleksowej może nastąpić w każdym czasie za pisemnym porozumieniem Stron.</w:t>
      </w:r>
    </w:p>
    <w:p>
      <w:pPr>
        <w:pStyle w:val="Normal"/>
        <w:tabs>
          <w:tab w:val="clear" w:pos="708"/>
          <w:tab w:val="left" w:pos="284" w:leader="none"/>
          <w:tab w:val="left" w:pos="426" w:leader="none"/>
        </w:tabs>
        <w:spacing w:lineRule="auto" w:line="276"/>
        <w:ind w:left="-142" w:hanging="0"/>
        <w:jc w:val="both"/>
        <w:rPr>
          <w:rFonts w:ascii="Calibri Light" w:hAnsi="Calibri Light" w:cs="Calibri Light" w:asciiTheme="majorHAnsi" w:cstheme="majorHAnsi" w:hAnsiTheme="majorHAnsi"/>
          <w:sz w:val="22"/>
          <w:szCs w:val="22"/>
        </w:rPr>
      </w:pPr>
      <w:r>
        <w:rPr>
          <w:rFonts w:cs="Calibri Light" w:cstheme="majorHAnsi" w:ascii="Calibri Light" w:hAnsi="Calibri Light"/>
          <w:sz w:val="22"/>
          <w:szCs w:val="22"/>
        </w:rPr>
      </w:r>
    </w:p>
    <w:p>
      <w:pPr>
        <w:pStyle w:val="Normal"/>
        <w:spacing w:lineRule="auto" w:line="276"/>
        <w:ind w:left="-142" w:hanging="0"/>
        <w:jc w:val="both"/>
        <w:rPr>
          <w:rFonts w:ascii="Calibri Light" w:hAnsi="Calibri Light" w:cs="Calibri Light" w:asciiTheme="majorHAnsi" w:cstheme="majorHAnsi" w:hAnsiTheme="majorHAnsi"/>
          <w:b/>
          <w:b/>
          <w:sz w:val="22"/>
          <w:szCs w:val="22"/>
        </w:rPr>
      </w:pPr>
      <w:r>
        <w:rPr>
          <w:rFonts w:cs="Calibri Light" w:ascii="Calibri Light" w:hAnsi="Calibri Light" w:asciiTheme="majorHAnsi" w:cstheme="majorHAnsi" w:hAnsiTheme="majorHAnsi"/>
          <w:b/>
          <w:sz w:val="22"/>
          <w:szCs w:val="22"/>
        </w:rPr>
        <w:t>VIII.   Postanowienia końcowe</w:t>
      </w:r>
    </w:p>
    <w:p>
      <w:pPr>
        <w:pStyle w:val="Normal"/>
        <w:spacing w:lineRule="auto" w:line="276"/>
        <w:ind w:left="-142" w:hanging="0"/>
        <w:jc w:val="both"/>
        <w:rPr>
          <w:rFonts w:ascii="Calibri Light" w:hAnsi="Calibri Light" w:cs="Calibri Light" w:asciiTheme="majorHAnsi" w:cstheme="majorHAnsi" w:hAnsiTheme="majorHAnsi"/>
          <w:b/>
          <w:b/>
          <w:sz w:val="22"/>
          <w:szCs w:val="22"/>
          <w:u w:val="single"/>
        </w:rPr>
      </w:pPr>
      <w:r>
        <w:rPr>
          <w:rFonts w:cs="Calibri Light" w:cstheme="majorHAnsi" w:ascii="Calibri Light" w:hAnsi="Calibri Light"/>
          <w:b/>
          <w:sz w:val="22"/>
          <w:szCs w:val="22"/>
          <w:u w:val="single"/>
        </w:rPr>
      </w:r>
    </w:p>
    <w:p>
      <w:pPr>
        <w:pStyle w:val="Normal"/>
        <w:numPr>
          <w:ilvl w:val="0"/>
          <w:numId w:val="6"/>
        </w:numPr>
        <w:tabs>
          <w:tab w:val="clear" w:pos="708"/>
          <w:tab w:val="left" w:pos="284" w:leader="none"/>
        </w:tabs>
        <w:spacing w:lineRule="auto" w:line="276"/>
        <w:ind w:left="-142" w:hanging="0"/>
        <w:jc w:val="both"/>
        <w:rPr>
          <w:rFonts w:ascii="Calibri Light" w:hAnsi="Calibri Light" w:cs="Calibri Light" w:asciiTheme="majorHAnsi" w:cstheme="majorHAnsi" w:hAnsiTheme="majorHAnsi"/>
          <w:sz w:val="22"/>
          <w:szCs w:val="22"/>
        </w:rPr>
      </w:pPr>
      <w:r>
        <w:rPr>
          <w:rFonts w:cs="Calibri Light" w:ascii="Calibri Light" w:hAnsi="Calibri Light" w:asciiTheme="majorHAnsi" w:cstheme="majorHAnsi" w:hAnsiTheme="majorHAnsi"/>
          <w:sz w:val="22"/>
          <w:szCs w:val="22"/>
        </w:rPr>
        <w:t xml:space="preserve">Wszelkie oświadczenia woli, zawiadomienia składane przez Strony w związku z realizacją niniejszej umowy powinny być pod rygorem bezskuteczności dokonywane na piśmie. </w:t>
      </w:r>
    </w:p>
    <w:p>
      <w:pPr>
        <w:pStyle w:val="Normal"/>
        <w:numPr>
          <w:ilvl w:val="0"/>
          <w:numId w:val="6"/>
        </w:numPr>
        <w:tabs>
          <w:tab w:val="clear" w:pos="708"/>
          <w:tab w:val="left" w:pos="284" w:leader="none"/>
        </w:tabs>
        <w:spacing w:lineRule="auto" w:line="276"/>
        <w:ind w:left="-142" w:hanging="0"/>
        <w:jc w:val="both"/>
        <w:rPr>
          <w:rFonts w:ascii="Calibri Light" w:hAnsi="Calibri Light" w:cs="Calibri Light" w:asciiTheme="majorHAnsi" w:cstheme="majorHAnsi" w:hAnsiTheme="majorHAnsi"/>
          <w:sz w:val="22"/>
          <w:szCs w:val="22"/>
        </w:rPr>
      </w:pPr>
      <w:r>
        <w:rPr>
          <w:rFonts w:cs="Calibri Light" w:ascii="Calibri Light" w:hAnsi="Calibri Light" w:asciiTheme="majorHAnsi" w:cstheme="majorHAnsi" w:hAnsiTheme="majorHAnsi"/>
          <w:sz w:val="22"/>
          <w:szCs w:val="22"/>
        </w:rPr>
        <w:t xml:space="preserve"> </w:t>
      </w:r>
      <w:r>
        <w:rPr>
          <w:rFonts w:cs="Calibri Light" w:ascii="Calibri Light" w:hAnsi="Calibri Light" w:asciiTheme="majorHAnsi" w:cstheme="majorHAnsi" w:hAnsiTheme="majorHAnsi"/>
          <w:sz w:val="22"/>
          <w:szCs w:val="22"/>
        </w:rPr>
        <w:t xml:space="preserve">Strony są obowiązane informować siebie nawzajem o każdej zmianie adresów. Oświadczenia woli oraz zawiadomienia wysyłane na ostatnio podany adres Strony uznawane będą za skuteczne i złożone tej Stronie. </w:t>
      </w:r>
    </w:p>
    <w:p>
      <w:pPr>
        <w:pStyle w:val="Normal"/>
        <w:numPr>
          <w:ilvl w:val="0"/>
          <w:numId w:val="6"/>
        </w:numPr>
        <w:tabs>
          <w:tab w:val="clear" w:pos="708"/>
          <w:tab w:val="left" w:pos="284" w:leader="none"/>
        </w:tabs>
        <w:spacing w:lineRule="auto" w:line="276"/>
        <w:ind w:left="-142" w:hanging="0"/>
        <w:jc w:val="both"/>
        <w:rPr>
          <w:rFonts w:ascii="Calibri Light" w:hAnsi="Calibri Light" w:cs="Calibri Light" w:asciiTheme="majorHAnsi" w:cstheme="majorHAnsi" w:hAnsiTheme="majorHAnsi"/>
          <w:sz w:val="22"/>
          <w:szCs w:val="22"/>
        </w:rPr>
      </w:pPr>
      <w:r>
        <w:rPr>
          <w:rFonts w:cs="Calibri Light" w:ascii="Calibri Light" w:hAnsi="Calibri Light" w:asciiTheme="majorHAnsi" w:cstheme="majorHAnsi" w:hAnsiTheme="majorHAnsi"/>
          <w:sz w:val="22"/>
          <w:szCs w:val="22"/>
        </w:rPr>
        <w:t xml:space="preserve">Ewentualne kwestie sporne, wynikłe w trakcie realizacji niniejszej umowy strony rozstrzygać będą </w:t>
        <w:br/>
        <w:t xml:space="preserve">w drodze negocjacji. </w:t>
      </w:r>
    </w:p>
    <w:p>
      <w:pPr>
        <w:pStyle w:val="Normal"/>
        <w:numPr>
          <w:ilvl w:val="0"/>
          <w:numId w:val="6"/>
        </w:numPr>
        <w:tabs>
          <w:tab w:val="clear" w:pos="708"/>
          <w:tab w:val="left" w:pos="284" w:leader="none"/>
        </w:tabs>
        <w:spacing w:lineRule="auto" w:line="276"/>
        <w:ind w:left="-142" w:hanging="0"/>
        <w:jc w:val="both"/>
        <w:rPr>
          <w:rFonts w:ascii="Calibri Light" w:hAnsi="Calibri Light" w:cs="Calibri Light" w:asciiTheme="majorHAnsi" w:cstheme="majorHAnsi" w:hAnsiTheme="majorHAnsi"/>
          <w:sz w:val="22"/>
          <w:szCs w:val="22"/>
        </w:rPr>
      </w:pPr>
      <w:r>
        <w:rPr>
          <w:rFonts w:cs="Calibri Light" w:ascii="Calibri Light" w:hAnsi="Calibri Light" w:asciiTheme="majorHAnsi" w:cstheme="majorHAnsi" w:hAnsiTheme="majorHAnsi"/>
          <w:sz w:val="22"/>
          <w:szCs w:val="22"/>
        </w:rPr>
        <w:t xml:space="preserve">W przypadku nie dojścia do porozumienia w sposób wskazany w ust. 3, sprawy sporne wynikłe </w:t>
        <w:br/>
        <w:t>z niniejszej umowy będą rozstrzygane przez Sąd właściwy dla siedziby  Zamawiającego.</w:t>
      </w:r>
    </w:p>
    <w:p>
      <w:pPr>
        <w:pStyle w:val="Normal"/>
        <w:numPr>
          <w:ilvl w:val="0"/>
          <w:numId w:val="6"/>
        </w:numPr>
        <w:tabs>
          <w:tab w:val="clear" w:pos="708"/>
          <w:tab w:val="left" w:pos="284" w:leader="none"/>
        </w:tabs>
        <w:spacing w:lineRule="auto" w:line="276"/>
        <w:ind w:left="-142" w:hanging="0"/>
        <w:jc w:val="both"/>
        <w:rPr>
          <w:rFonts w:ascii="Calibri Light" w:hAnsi="Calibri Light" w:cs="Calibri Light" w:asciiTheme="majorHAnsi" w:cstheme="majorHAnsi" w:hAnsiTheme="majorHAnsi"/>
          <w:sz w:val="22"/>
          <w:szCs w:val="22"/>
        </w:rPr>
      </w:pPr>
      <w:r>
        <w:rPr>
          <w:rFonts w:cs="Calibri Light" w:ascii="Calibri Light" w:hAnsi="Calibri Light" w:asciiTheme="majorHAnsi" w:cstheme="majorHAnsi" w:hAnsiTheme="majorHAnsi"/>
          <w:sz w:val="22"/>
          <w:szCs w:val="22"/>
        </w:rPr>
        <w:t>W sprawach nieuregulowanych w umowie będą miały zastosowanie przepisy Kodeksu Cywilnego, Ustawy Prawo zamówień publicznych oraz ustawy Prawo energetyczne wraz z obowiązującymi aktami wykonawczymi.</w:t>
      </w:r>
    </w:p>
    <w:p>
      <w:pPr>
        <w:pStyle w:val="Normal"/>
        <w:numPr>
          <w:ilvl w:val="0"/>
          <w:numId w:val="6"/>
        </w:numPr>
        <w:tabs>
          <w:tab w:val="clear" w:pos="708"/>
          <w:tab w:val="left" w:pos="284" w:leader="none"/>
        </w:tabs>
        <w:spacing w:lineRule="auto" w:line="276"/>
        <w:ind w:left="-142" w:hanging="0"/>
        <w:jc w:val="both"/>
        <w:rPr>
          <w:rFonts w:ascii="Calibri Light" w:hAnsi="Calibri Light" w:cs="Calibri Light" w:asciiTheme="majorHAnsi" w:cstheme="majorHAnsi" w:hAnsiTheme="majorHAnsi"/>
          <w:sz w:val="22"/>
          <w:szCs w:val="22"/>
        </w:rPr>
      </w:pPr>
      <w:r>
        <w:rPr>
          <w:rFonts w:cs="Calibri Light" w:ascii="Calibri Light" w:hAnsi="Calibri Light" w:asciiTheme="majorHAnsi" w:cstheme="majorHAnsi" w:hAnsiTheme="majorHAnsi"/>
          <w:sz w:val="22"/>
          <w:szCs w:val="22"/>
        </w:rPr>
        <w:t>Projektowane postanowienia umowy w sprawie stanowią integralną część Umowy o udzielenie zamówienia publicznego.</w:t>
      </w:r>
    </w:p>
    <w:p>
      <w:pPr>
        <w:pStyle w:val="Normal"/>
        <w:numPr>
          <w:ilvl w:val="0"/>
          <w:numId w:val="6"/>
        </w:numPr>
        <w:tabs>
          <w:tab w:val="clear" w:pos="708"/>
          <w:tab w:val="left" w:pos="284" w:leader="none"/>
        </w:tabs>
        <w:spacing w:lineRule="auto" w:line="276"/>
        <w:ind w:left="-142" w:hanging="0"/>
        <w:jc w:val="both"/>
        <w:rPr>
          <w:rFonts w:ascii="Calibri Light" w:hAnsi="Calibri Light" w:cs="Calibri Light" w:asciiTheme="majorHAnsi" w:cstheme="majorHAnsi" w:hAnsiTheme="majorHAnsi"/>
          <w:color w:val="FF0000"/>
          <w:sz w:val="22"/>
          <w:szCs w:val="22"/>
        </w:rPr>
      </w:pPr>
      <w:r>
        <w:rPr>
          <w:rFonts w:cs="Calibri Light" w:ascii="Calibri Light" w:hAnsi="Calibri Light" w:asciiTheme="majorHAnsi" w:cstheme="majorHAnsi" w:hAnsiTheme="majorHAnsi"/>
          <w:color w:val="000000"/>
          <w:sz w:val="22"/>
          <w:szCs w:val="22"/>
        </w:rPr>
        <w:t>Wykonawca zobowiązuje się do ochrony danych osobowych, do których będzie miał dostęp w trakcie realizacji umowy/zlecenia, a także po jej ustaniu zgodnie z wymogami wynikającymi z Rozporządzenia Parlamentu Europejskiego i Rady (UE) 2016/679 z dnia 27 kwietnia 2016 r. w sprawie ochrony osób fizycznych w związku z przetwarzaniem danych osobowych w sprawie swobodnego przepływu takich danych oraz uchylenia dyrektywy 95/46/WE oraz ustawy z dnia 10 maja 2018 r. o ochronie danych osobowych. Jednocześnie zobowiązuje się Wykonawcę do zachowania w tajemnicy wszelkich informacji dotyczących przedmiotu umowy/zlecenia,z zastrzeżeniem sytuacji, kiedy obowiązek ich ujawnienia będzie wynikać z przepisów powszechnie obowiązującego prawa lub jeśli będzie to konieczne dla prawidłowej realizacji umowy/zlecenia bądź, kiedy informacje staną się jawne lub powszechnie dostępne. Naruszenie obowiązku zachowania poufności przez Wykonawcę uprawnia</w:t>
      </w:r>
      <w:r>
        <w:rPr>
          <w:rFonts w:cs="Calibri Light" w:ascii="Calibri Light" w:hAnsi="Calibri Light" w:asciiTheme="majorHAnsi" w:cstheme="majorHAnsi" w:hAnsiTheme="majorHAnsi"/>
          <w:color w:val="FF0000"/>
          <w:sz w:val="22"/>
          <w:szCs w:val="22"/>
        </w:rPr>
        <w:t xml:space="preserve"> </w:t>
      </w:r>
      <w:r>
        <w:rPr>
          <w:rFonts w:cs="Calibri Light" w:ascii="Calibri Light" w:hAnsi="Calibri Light" w:asciiTheme="majorHAnsi" w:cstheme="majorHAnsi" w:hAnsiTheme="majorHAnsi"/>
          <w:color w:val="000000"/>
          <w:sz w:val="22"/>
          <w:szCs w:val="22"/>
        </w:rPr>
        <w:t>Zamawiającego do rozwiązania umowy bez wypowiedzenia, rozwiązania zlecenia oraz do dochodzenia odszkodowania na zasadach ogólnych.</w:t>
      </w:r>
    </w:p>
    <w:p>
      <w:pPr>
        <w:pStyle w:val="Normal"/>
        <w:tabs>
          <w:tab w:val="clear" w:pos="708"/>
          <w:tab w:val="left" w:pos="284" w:leader="none"/>
        </w:tabs>
        <w:spacing w:lineRule="auto" w:line="276"/>
        <w:ind w:left="-142" w:hanging="0"/>
        <w:jc w:val="both"/>
        <w:rPr>
          <w:rFonts w:ascii="Calibri Light" w:hAnsi="Calibri Light" w:cs="Calibri Light" w:asciiTheme="majorHAnsi" w:cstheme="majorHAnsi" w:hAnsiTheme="majorHAnsi"/>
          <w:color w:val="000000"/>
          <w:sz w:val="22"/>
          <w:szCs w:val="22"/>
        </w:rPr>
      </w:pPr>
      <w:r>
        <w:rPr>
          <w:rFonts w:cs="Calibri Light" w:cstheme="majorHAnsi" w:ascii="Calibri Light" w:hAnsi="Calibri Light"/>
          <w:color w:val="000000"/>
          <w:sz w:val="22"/>
          <w:szCs w:val="22"/>
        </w:rPr>
      </w:r>
    </w:p>
    <w:p>
      <w:pPr>
        <w:pStyle w:val="Normal"/>
        <w:spacing w:lineRule="auto" w:line="276"/>
        <w:rPr>
          <w:color w:val="000000"/>
        </w:rPr>
      </w:pPr>
      <w:r>
        <w:rPr/>
      </w:r>
    </w:p>
    <w:sectPr>
      <w:type w:val="nextPage"/>
      <w:pgSz w:w="11906" w:h="16838"/>
      <w:pgMar w:left="1417" w:right="1417" w:header="0" w:top="1417" w:footer="0"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Liberation Sans">
    <w:altName w:val="Arial"/>
    <w:charset w:val="ee"/>
    <w:family w:val="roman"/>
    <w:pitch w:val="variable"/>
  </w:font>
  <w:font w:name="Calibri Light">
    <w:charset w:val="ee"/>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455" w:hanging="360"/>
      </w:pPr>
      <w:rPr>
        <w:rFonts w:ascii="Symbol" w:hAnsi="Symbol" w:cs="Symbol" w:hint="default"/>
      </w:rPr>
    </w:lvl>
    <w:lvl w:ilvl="1">
      <w:start w:val="1"/>
      <w:numFmt w:val="bullet"/>
      <w:lvlText w:val="o"/>
      <w:lvlJc w:val="left"/>
      <w:pPr>
        <w:tabs>
          <w:tab w:val="num" w:pos="0"/>
        </w:tabs>
        <w:ind w:left="2175" w:hanging="360"/>
      </w:pPr>
      <w:rPr>
        <w:rFonts w:ascii="Courier New" w:hAnsi="Courier New" w:cs="Courier New" w:hint="default"/>
      </w:rPr>
    </w:lvl>
    <w:lvl w:ilvl="2">
      <w:start w:val="1"/>
      <w:numFmt w:val="bullet"/>
      <w:lvlText w:val=""/>
      <w:lvlJc w:val="left"/>
      <w:pPr>
        <w:tabs>
          <w:tab w:val="num" w:pos="0"/>
        </w:tabs>
        <w:ind w:left="2895" w:hanging="360"/>
      </w:pPr>
      <w:rPr>
        <w:rFonts w:ascii="Wingdings" w:hAnsi="Wingdings" w:cs="Wingdings" w:hint="default"/>
      </w:rPr>
    </w:lvl>
    <w:lvl w:ilvl="3">
      <w:start w:val="1"/>
      <w:numFmt w:val="bullet"/>
      <w:lvlText w:val=""/>
      <w:lvlJc w:val="left"/>
      <w:pPr>
        <w:tabs>
          <w:tab w:val="num" w:pos="0"/>
        </w:tabs>
        <w:ind w:left="3615" w:hanging="360"/>
      </w:pPr>
      <w:rPr>
        <w:rFonts w:ascii="Symbol" w:hAnsi="Symbol" w:cs="Symbol" w:hint="default"/>
      </w:rPr>
    </w:lvl>
    <w:lvl w:ilvl="4">
      <w:start w:val="1"/>
      <w:numFmt w:val="bullet"/>
      <w:lvlText w:val="o"/>
      <w:lvlJc w:val="left"/>
      <w:pPr>
        <w:tabs>
          <w:tab w:val="num" w:pos="0"/>
        </w:tabs>
        <w:ind w:left="4335" w:hanging="360"/>
      </w:pPr>
      <w:rPr>
        <w:rFonts w:ascii="Courier New" w:hAnsi="Courier New" w:cs="Courier New" w:hint="default"/>
      </w:rPr>
    </w:lvl>
    <w:lvl w:ilvl="5">
      <w:start w:val="1"/>
      <w:numFmt w:val="bullet"/>
      <w:lvlText w:val=""/>
      <w:lvlJc w:val="left"/>
      <w:pPr>
        <w:tabs>
          <w:tab w:val="num" w:pos="0"/>
        </w:tabs>
        <w:ind w:left="5055" w:hanging="360"/>
      </w:pPr>
      <w:rPr>
        <w:rFonts w:ascii="Wingdings" w:hAnsi="Wingdings" w:cs="Wingdings" w:hint="default"/>
      </w:rPr>
    </w:lvl>
    <w:lvl w:ilvl="6">
      <w:start w:val="1"/>
      <w:numFmt w:val="bullet"/>
      <w:lvlText w:val=""/>
      <w:lvlJc w:val="left"/>
      <w:pPr>
        <w:tabs>
          <w:tab w:val="num" w:pos="0"/>
        </w:tabs>
        <w:ind w:left="5775" w:hanging="360"/>
      </w:pPr>
      <w:rPr>
        <w:rFonts w:ascii="Symbol" w:hAnsi="Symbol" w:cs="Symbol" w:hint="default"/>
      </w:rPr>
    </w:lvl>
    <w:lvl w:ilvl="7">
      <w:start w:val="1"/>
      <w:numFmt w:val="bullet"/>
      <w:lvlText w:val="o"/>
      <w:lvlJc w:val="left"/>
      <w:pPr>
        <w:tabs>
          <w:tab w:val="num" w:pos="0"/>
        </w:tabs>
        <w:ind w:left="6495" w:hanging="360"/>
      </w:pPr>
      <w:rPr>
        <w:rFonts w:ascii="Courier New" w:hAnsi="Courier New" w:cs="Courier New" w:hint="default"/>
      </w:rPr>
    </w:lvl>
    <w:lvl w:ilvl="8">
      <w:start w:val="1"/>
      <w:numFmt w:val="bullet"/>
      <w:lvlText w:val=""/>
      <w:lvlJc w:val="left"/>
      <w:pPr>
        <w:tabs>
          <w:tab w:val="num" w:pos="0"/>
        </w:tabs>
        <w:ind w:left="7215" w:hanging="360"/>
      </w:pPr>
      <w:rPr>
        <w:rFonts w:ascii="Wingdings" w:hAnsi="Wingdings" w:cs="Wingdings" w:hint="default"/>
      </w:rPr>
    </w:lvl>
  </w:abstractNum>
  <w:abstractNum w:abstractNumId="2">
    <w:lvl w:ilvl="0">
      <w:start w:val="1"/>
      <w:numFmt w:val="decimal"/>
      <w:lvlText w:val="%1."/>
      <w:lvlJc w:val="left"/>
      <w:pPr>
        <w:tabs>
          <w:tab w:val="num" w:pos="720"/>
        </w:tabs>
        <w:ind w:left="720" w:hanging="360"/>
      </w:pPr>
      <w:rPr>
        <w:dstrike w:val="false"/>
        <w:strike w:val="false"/>
        <w:b w:val="false"/>
        <w:bCs w:val="false"/>
        <w:color w:val="auto"/>
      </w:rPr>
    </w:lvl>
    <w:lvl w:ilvl="1">
      <w:start w:val="1"/>
      <w:numFmt w:val="lowerLetter"/>
      <w:lvlText w:val="%2."/>
      <w:lvlJc w:val="left"/>
      <w:pPr>
        <w:tabs>
          <w:tab w:val="num" w:pos="1440"/>
        </w:tabs>
        <w:ind w:left="1440" w:hanging="360"/>
      </w:pPr>
    </w:lvl>
    <w:lvl w:ilvl="2">
      <w:start w:val="1"/>
      <w:numFmt w:val="decimal"/>
      <w:lvlText w:val="%3."/>
      <w:lvlJc w:val="right"/>
      <w:pPr>
        <w:tabs>
          <w:tab w:val="num" w:pos="180"/>
        </w:tabs>
        <w:ind w:left="180" w:hanging="180"/>
      </w:pPr>
      <w:rPr>
        <w:b w:val="false"/>
        <w:bCs w:val="false"/>
        <w:rFonts w:ascii="Calibri" w:hAnsi="Calibri" w:eastAsia="Times New Roman" w:cs="Times New Roman"/>
      </w:rPr>
    </w:lvl>
    <w:lvl w:ilvl="3">
      <w:start w:val="6"/>
      <w:numFmt w:val="decimal"/>
      <w:lvlText w:val="%4)"/>
      <w:lvlJc w:val="left"/>
      <w:pPr>
        <w:tabs>
          <w:tab w:val="num" w:pos="0"/>
        </w:tabs>
        <w:ind w:left="2880" w:hanging="360"/>
      </w:pPr>
    </w:lvl>
    <w:lvl w:ilvl="4">
      <w:start w:val="1"/>
      <w:numFmt w:val="decimal"/>
      <w:lvlText w:val="%5)"/>
      <w:lvlJc w:val="left"/>
      <w:pPr>
        <w:tabs>
          <w:tab w:val="num" w:pos="0"/>
        </w:tabs>
        <w:ind w:left="3600" w:hanging="360"/>
      </w:pPr>
      <w:rPr>
        <w:b w:val="false"/>
        <w:bCs w:val="false"/>
        <w:rFonts w:ascii="Calibri Light" w:hAnsi="Calibri Light" w:eastAsia="Times New Roman" w:cs="Calibri Ligh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lvl w:ilvl="0">
      <w:start w:val="1"/>
      <w:numFmt w:val="decimal"/>
      <w:lvlText w:val="%1."/>
      <w:lvlJc w:val="left"/>
      <w:pPr>
        <w:tabs>
          <w:tab w:val="num" w:pos="0"/>
        </w:tabs>
        <w:ind w:left="2880" w:hanging="360"/>
      </w:pPr>
      <w:rPr>
        <w:b w:val="false"/>
        <w:bCs w:val="false"/>
        <w:rFonts w:ascii="Calibri Light" w:hAnsi="Calibri Light" w:eastAsia="Times New Roman" w:cs="Calibri Light"/>
      </w:rPr>
    </w:lvl>
    <w:lvl w:ilvl="1">
      <w:start w:val="1"/>
      <w:numFmt w:val="lowerLetter"/>
      <w:lvlText w:val="%2."/>
      <w:lvlJc w:val="left"/>
      <w:pPr>
        <w:tabs>
          <w:tab w:val="num" w:pos="0"/>
        </w:tabs>
        <w:ind w:left="3600" w:hanging="360"/>
      </w:pPr>
    </w:lvl>
    <w:lvl w:ilvl="2">
      <w:start w:val="1"/>
      <w:numFmt w:val="lowerRoman"/>
      <w:lvlText w:val="%3."/>
      <w:lvlJc w:val="righ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righ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right"/>
      <w:pPr>
        <w:tabs>
          <w:tab w:val="num" w:pos="0"/>
        </w:tabs>
        <w:ind w:left="8640" w:hanging="180"/>
      </w:pPr>
    </w:lvl>
  </w:abstractNum>
  <w:abstractNum w:abstractNumId="4">
    <w:lvl w:ilvl="0">
      <w:start w:val="1"/>
      <w:numFmt w:val="decimal"/>
      <w:lvlText w:val="%1."/>
      <w:lvlJc w:val="left"/>
      <w:pPr>
        <w:tabs>
          <w:tab w:val="num" w:pos="720"/>
        </w:tabs>
        <w:ind w:left="720" w:hanging="360"/>
      </w:pPr>
      <w:rPr>
        <w:b w:val="false"/>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lvl w:ilvl="0">
      <w:start w:val="1"/>
      <w:numFmt w:val="decimal"/>
      <w:lvlText w:val="%1."/>
      <w:lvlJc w:val="left"/>
      <w:pPr>
        <w:tabs>
          <w:tab w:val="num" w:pos="0"/>
        </w:tabs>
        <w:ind w:left="720" w:hanging="360"/>
      </w:pPr>
      <w:rPr>
        <w:b w:val="false"/>
        <w:color w:val="auto"/>
      </w:rPr>
    </w:lvl>
    <w:lvl w:ilvl="1">
      <w:start w:val="1"/>
      <w:numFmt w:val="lowerLetter"/>
      <w:lvlText w:val="%2."/>
      <w:lvlJc w:val="left"/>
      <w:pPr>
        <w:tabs>
          <w:tab w:val="num" w:pos="0"/>
        </w:tabs>
        <w:ind w:left="1440" w:hanging="360"/>
      </w:pPr>
    </w:lvl>
    <w:lvl w:ilvl="2">
      <w:start w:val="1"/>
      <w:numFmt w:val="decimal"/>
      <w:lvlText w:val="%3."/>
      <w:lvlJc w:val="right"/>
      <w:pPr>
        <w:tabs>
          <w:tab w:val="num" w:pos="0"/>
        </w:tabs>
        <w:ind w:left="2160" w:hanging="180"/>
      </w:pPr>
      <w:rPr>
        <w:rFonts w:ascii="Calibri" w:hAnsi="Calibri" w:eastAsia="Times New Roman" w:cs="Times New Roman"/>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lvl w:ilvl="0">
      <w:start w:val="1"/>
      <w:numFmt w:val="decimal"/>
      <w:lvlText w:val="%1."/>
      <w:lvlJc w:val="left"/>
      <w:pPr>
        <w:tabs>
          <w:tab w:val="num" w:pos="0"/>
        </w:tabs>
        <w:ind w:left="720" w:hanging="360"/>
      </w:pPr>
      <w:rPr>
        <w:b w:val="false"/>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lvl w:ilvl="0">
      <w:start w:val="3"/>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lvl w:ilvl="0">
      <w:start w:val="1"/>
      <w:numFmt w:val="upperRoman"/>
      <w:lvlText w:val="%1."/>
      <w:lvlJc w:val="left"/>
      <w:pPr>
        <w:tabs>
          <w:tab w:val="num" w:pos="0"/>
        </w:tabs>
        <w:ind w:left="1440" w:hanging="72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30b44"/>
    <w:pPr>
      <w:widowControl/>
      <w:suppressAutoHyphens w:val="true"/>
      <w:bidi w:val="0"/>
      <w:spacing w:before="0" w:after="0"/>
      <w:jc w:val="left"/>
    </w:pPr>
    <w:rPr>
      <w:rFonts w:ascii="Times New Roman" w:hAnsi="Times New Roman" w:eastAsia="Times New Roman" w:cs="Times New Roman"/>
      <w:color w:val="auto"/>
      <w:kern w:val="0"/>
      <w:sz w:val="24"/>
      <w:szCs w:val="24"/>
      <w:lang w:val="pl-PL" w:eastAsia="pl-PL" w:bidi="ar-SA"/>
    </w:rPr>
  </w:style>
  <w:style w:type="character" w:styleId="DefaultParagraphFont" w:default="1">
    <w:name w:val="Default Paragraph Font"/>
    <w:uiPriority w:val="1"/>
    <w:semiHidden/>
    <w:unhideWhenUsed/>
    <w:qFormat/>
    <w:rPr/>
  </w:style>
  <w:style w:type="character" w:styleId="TekstpodstawowyZnak" w:customStyle="1">
    <w:name w:val="Tekst podstawowy Znak"/>
    <w:basedOn w:val="DefaultParagraphFont"/>
    <w:qFormat/>
    <w:rsid w:val="00b30b44"/>
    <w:rPr>
      <w:rFonts w:ascii="Times New Roman" w:hAnsi="Times New Roman" w:eastAsia="Times New Roman" w:cs="Times New Roman"/>
      <w:sz w:val="24"/>
      <w:szCs w:val="24"/>
      <w:lang w:val="x-none" w:eastAsia="x-none"/>
    </w:rPr>
  </w:style>
  <w:style w:type="character" w:styleId="AkapitzlistZnak" w:customStyle="1">
    <w:name w:val="Akapit z listą Znak"/>
    <w:uiPriority w:val="99"/>
    <w:qFormat/>
    <w:rsid w:val="00b30b44"/>
    <w:rPr>
      <w:rFonts w:ascii="Calibri" w:hAnsi="Calibri" w:eastAsia="Calibri" w:cs="Times New Roman"/>
    </w:rPr>
  </w:style>
  <w:style w:type="character" w:styleId="Annotationreference">
    <w:name w:val="annotation reference"/>
    <w:basedOn w:val="DefaultParagraphFont"/>
    <w:uiPriority w:val="99"/>
    <w:semiHidden/>
    <w:unhideWhenUsed/>
    <w:qFormat/>
    <w:rsid w:val="00621cca"/>
    <w:rPr>
      <w:sz w:val="16"/>
      <w:szCs w:val="16"/>
    </w:rPr>
  </w:style>
  <w:style w:type="character" w:styleId="TekstkomentarzaZnak" w:customStyle="1">
    <w:name w:val="Tekst komentarza Znak"/>
    <w:basedOn w:val="DefaultParagraphFont"/>
    <w:uiPriority w:val="99"/>
    <w:semiHidden/>
    <w:qFormat/>
    <w:rsid w:val="00621cca"/>
    <w:rPr>
      <w:rFonts w:ascii="Times New Roman" w:hAnsi="Times New Roman" w:eastAsia="Times New Roman" w:cs="Times New Roman"/>
      <w:sz w:val="20"/>
      <w:szCs w:val="20"/>
      <w:lang w:eastAsia="pl-PL"/>
    </w:rPr>
  </w:style>
  <w:style w:type="character" w:styleId="TematkomentarzaZnak" w:customStyle="1">
    <w:name w:val="Temat komentarza Znak"/>
    <w:basedOn w:val="TekstkomentarzaZnak"/>
    <w:uiPriority w:val="99"/>
    <w:semiHidden/>
    <w:qFormat/>
    <w:rsid w:val="00621cca"/>
    <w:rPr>
      <w:rFonts w:ascii="Times New Roman" w:hAnsi="Times New Roman" w:eastAsia="Times New Roman" w:cs="Times New Roman"/>
      <w:b/>
      <w:bCs/>
      <w:sz w:val="20"/>
      <w:szCs w:val="20"/>
      <w:lang w:eastAsia="pl-PL"/>
    </w:rPr>
  </w:style>
  <w:style w:type="character" w:styleId="Czeinternetowe">
    <w:name w:val="Łącze internetowe"/>
    <w:rPr>
      <w:color w:val="000080"/>
      <w:u w:val="single"/>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link w:val="TekstpodstawowyZnak"/>
    <w:rsid w:val="00b30b44"/>
    <w:pPr>
      <w:spacing w:before="0" w:after="120"/>
    </w:pPr>
    <w:rPr>
      <w:lang w:val="x-none" w:eastAsia="x-none"/>
    </w:rPr>
  </w:style>
  <w:style w:type="paragraph" w:styleId="Lista">
    <w:name w:val="List"/>
    <w:basedOn w:val="Tretekstu"/>
    <w:pPr/>
    <w:rPr>
      <w:rFonts w:cs="Lucida Sans"/>
    </w:rPr>
  </w:style>
  <w:style w:type="paragraph" w:styleId="Podpis">
    <w:name w:val="Caption"/>
    <w:basedOn w:val="Normal"/>
    <w:qFormat/>
    <w:pPr>
      <w:suppressLineNumbers/>
      <w:spacing w:before="120" w:after="120"/>
    </w:pPr>
    <w:rPr>
      <w:rFonts w:cs="Lucida Sans"/>
      <w:i/>
      <w:iCs/>
      <w:sz w:val="24"/>
      <w:szCs w:val="24"/>
    </w:rPr>
  </w:style>
  <w:style w:type="paragraph" w:styleId="Indeks" w:customStyle="1">
    <w:name w:val="Indeks"/>
    <w:basedOn w:val="Normal"/>
    <w:qFormat/>
    <w:pPr>
      <w:suppressLineNumbers/>
    </w:pPr>
    <w:rPr>
      <w:rFonts w:cs="Lucida Sans"/>
    </w:rPr>
  </w:style>
  <w:style w:type="paragraph" w:styleId="Caption">
    <w:name w:val="caption"/>
    <w:basedOn w:val="Normal"/>
    <w:qFormat/>
    <w:pPr>
      <w:suppressLineNumbers/>
      <w:spacing w:before="120" w:after="120"/>
    </w:pPr>
    <w:rPr>
      <w:rFonts w:cs="Lucida Sans"/>
      <w:i/>
      <w:iCs/>
    </w:rPr>
  </w:style>
  <w:style w:type="paragraph" w:styleId="Gwkaistopka">
    <w:name w:val="Główka i stopka"/>
    <w:basedOn w:val="Normal"/>
    <w:qFormat/>
    <w:pPr/>
    <w:rPr/>
  </w:style>
  <w:style w:type="paragraph" w:styleId="Gwka">
    <w:name w:val="Header"/>
    <w:basedOn w:val="Normal"/>
    <w:next w:val="Tretekstu"/>
    <w:qFormat/>
    <w:pPr>
      <w:keepNext w:val="true"/>
      <w:spacing w:before="240" w:after="120"/>
    </w:pPr>
    <w:rPr>
      <w:rFonts w:ascii="Liberation Sans" w:hAnsi="Liberation Sans" w:eastAsia="Microsoft YaHei" w:cs="Lucida Sans"/>
      <w:sz w:val="28"/>
      <w:szCs w:val="28"/>
    </w:rPr>
  </w:style>
  <w:style w:type="paragraph" w:styleId="Akapitzlist1" w:customStyle="1">
    <w:name w:val="Akapit z listą1"/>
    <w:basedOn w:val="Normal"/>
    <w:qFormat/>
    <w:rsid w:val="00b30b44"/>
    <w:pPr>
      <w:spacing w:lineRule="auto" w:line="276" w:before="0" w:after="200"/>
      <w:ind w:left="720" w:hanging="0"/>
      <w:contextualSpacing/>
    </w:pPr>
    <w:rPr>
      <w:rFonts w:ascii="Calibri" w:hAnsi="Calibri"/>
      <w:sz w:val="22"/>
      <w:szCs w:val="22"/>
      <w:lang w:eastAsia="en-US"/>
    </w:rPr>
  </w:style>
  <w:style w:type="paragraph" w:styleId="ListParagraph">
    <w:name w:val="List Paragraph"/>
    <w:basedOn w:val="Normal"/>
    <w:link w:val="AkapitzlistZnak"/>
    <w:uiPriority w:val="99"/>
    <w:qFormat/>
    <w:rsid w:val="00b30b44"/>
    <w:pPr>
      <w:spacing w:lineRule="auto" w:line="276" w:before="0" w:after="200"/>
      <w:ind w:left="720" w:hanging="0"/>
      <w:contextualSpacing/>
    </w:pPr>
    <w:rPr>
      <w:rFonts w:ascii="Calibri" w:hAnsi="Calibri" w:eastAsia="Calibri"/>
      <w:sz w:val="22"/>
      <w:szCs w:val="22"/>
      <w:lang w:eastAsia="en-US"/>
    </w:rPr>
  </w:style>
  <w:style w:type="paragraph" w:styleId="Arimr" w:customStyle="1">
    <w:name w:val="arimr"/>
    <w:basedOn w:val="Normal"/>
    <w:qFormat/>
    <w:rsid w:val="00b30b44"/>
    <w:pPr>
      <w:widowControl w:val="false"/>
      <w:snapToGrid w:val="false"/>
      <w:spacing w:lineRule="auto" w:line="360"/>
    </w:pPr>
    <w:rPr>
      <w:szCs w:val="20"/>
      <w:lang w:val="en-US" w:eastAsia="ar-SA"/>
    </w:rPr>
  </w:style>
  <w:style w:type="paragraph" w:styleId="Revision">
    <w:name w:val="Revision"/>
    <w:uiPriority w:val="99"/>
    <w:semiHidden/>
    <w:qFormat/>
    <w:rsid w:val="00782684"/>
    <w:pPr>
      <w:widowControl/>
      <w:suppressAutoHyphens w:val="true"/>
      <w:bidi w:val="0"/>
      <w:spacing w:before="0" w:after="0"/>
      <w:jc w:val="left"/>
    </w:pPr>
    <w:rPr>
      <w:rFonts w:ascii="Times New Roman" w:hAnsi="Times New Roman" w:eastAsia="Times New Roman" w:cs="Times New Roman"/>
      <w:color w:val="auto"/>
      <w:kern w:val="0"/>
      <w:sz w:val="24"/>
      <w:szCs w:val="24"/>
      <w:lang w:val="pl-PL" w:eastAsia="pl-PL" w:bidi="ar-SA"/>
    </w:rPr>
  </w:style>
  <w:style w:type="paragraph" w:styleId="Annotationtext">
    <w:name w:val="annotation text"/>
    <w:basedOn w:val="Normal"/>
    <w:link w:val="TekstkomentarzaZnak"/>
    <w:uiPriority w:val="99"/>
    <w:semiHidden/>
    <w:unhideWhenUsed/>
    <w:qFormat/>
    <w:rsid w:val="00621cca"/>
    <w:pPr/>
    <w:rPr>
      <w:sz w:val="20"/>
      <w:szCs w:val="20"/>
    </w:rPr>
  </w:style>
  <w:style w:type="paragraph" w:styleId="Annotationsubject">
    <w:name w:val="annotation subject"/>
    <w:basedOn w:val="Annotationtext"/>
    <w:next w:val="Annotationtext"/>
    <w:link w:val="TematkomentarzaZnak"/>
    <w:uiPriority w:val="99"/>
    <w:semiHidden/>
    <w:unhideWhenUsed/>
    <w:qFormat/>
    <w:rsid w:val="00621cca"/>
    <w:pPr/>
    <w:rPr>
      <w:b/>
      <w:bCs/>
    </w:rPr>
  </w:style>
  <w:style w:type="numbering" w:styleId="Bezlisty" w:default="1">
    <w:name w:val="Bez listy"/>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ekretariat@zmsp-przasnysz.pl"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49440-81A9-4C61-9545-FD99C0244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Application>LibreOffice/7.0.3.1$Windows_X86_64 LibreOffice_project/d7547858d014d4cf69878db179d326fc3483e082</Application>
  <Pages>8</Pages>
  <Words>3148</Words>
  <Characters>20208</Characters>
  <CharactersWithSpaces>23287</CharactersWithSpaces>
  <Paragraphs>104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2023-12-12T18:49:00Z</dcterms:created>
  <dc:creator>pgrudnowski</dc:creator>
  <dc:description/>
  <dc:language>pl-PL</dc:language>
  <cp:lastModifiedBy/>
  <cp:lastPrinted>2023-11-09T11:37:00Z</cp:lastPrinted>
  <dcterms:modified xsi:type="dcterms:W3CDTF">2026-09-10T09:49:38Z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HyperlinksChanged">
    <vt:bool>0</vt:bool>
  </property>
  <property fmtid="{D5CDD505-2E9C-101B-9397-08002B2CF9AE}" pid="4" name="LinksUpToDate">
    <vt:bool>0</vt:bool>
  </property>
  <property fmtid="{D5CDD505-2E9C-101B-9397-08002B2CF9AE}" pid="5" name="ScaleCrop">
    <vt:bool>0</vt:bool>
  </property>
  <property fmtid="{D5CDD505-2E9C-101B-9397-08002B2CF9AE}" pid="6" name="ShareDoc">
    <vt:bool>0</vt:bool>
  </property>
</Properties>
</file>