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13CF" w:rsidRPr="00D313CF" w:rsidRDefault="00D313CF" w:rsidP="00590107">
      <w:pPr>
        <w:spacing w:after="0" w:line="240" w:lineRule="auto"/>
        <w:ind w:left="7452" w:firstLine="336"/>
        <w:rPr>
          <w:rFonts w:ascii="Times New Roman" w:hAnsi="Times New Roman" w:cs="Times New Roman"/>
          <w:sz w:val="24"/>
          <w:szCs w:val="24"/>
        </w:rPr>
      </w:pPr>
      <w:r w:rsidRPr="00A12B0E">
        <w:rPr>
          <w:rFonts w:ascii="Times New Roman" w:hAnsi="Times New Roman" w:cs="Times New Roman"/>
        </w:rPr>
        <w:t xml:space="preserve">Załącznik nr </w:t>
      </w:r>
      <w:r w:rsidR="00590107">
        <w:rPr>
          <w:rFonts w:ascii="Times New Roman" w:hAnsi="Times New Roman" w:cs="Times New Roman"/>
        </w:rPr>
        <w:t>4</w:t>
      </w:r>
      <w:r w:rsidRPr="00A12B0E">
        <w:rPr>
          <w:rFonts w:ascii="Times New Roman" w:hAnsi="Times New Roman" w:cs="Times New Roman"/>
        </w:rPr>
        <w:t xml:space="preserve"> </w:t>
      </w:r>
    </w:p>
    <w:p w:rsidR="00D313CF" w:rsidRDefault="00D313CF" w:rsidP="00D313CF">
      <w:pPr>
        <w:spacing w:after="0" w:line="240" w:lineRule="auto"/>
        <w:ind w:left="4284" w:firstLine="672"/>
        <w:rPr>
          <w:rFonts w:ascii="Times New Roman" w:hAnsi="Times New Roman" w:cs="Times New Roman"/>
          <w:sz w:val="24"/>
          <w:szCs w:val="24"/>
        </w:rPr>
      </w:pPr>
    </w:p>
    <w:p w:rsidR="00152EFB" w:rsidRPr="00D313CF" w:rsidRDefault="00152EFB" w:rsidP="00D313CF">
      <w:pPr>
        <w:spacing w:after="0" w:line="240" w:lineRule="auto"/>
        <w:ind w:left="4284" w:firstLine="672"/>
        <w:rPr>
          <w:rFonts w:ascii="Times New Roman" w:hAnsi="Times New Roman" w:cs="Times New Roman"/>
          <w:sz w:val="24"/>
          <w:szCs w:val="24"/>
        </w:rPr>
      </w:pPr>
    </w:p>
    <w:p w:rsidR="00D313CF" w:rsidRPr="00152EFB" w:rsidRDefault="00D313CF" w:rsidP="00152E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2EFB">
        <w:rPr>
          <w:rFonts w:ascii="Times New Roman" w:hAnsi="Times New Roman" w:cs="Times New Roman"/>
          <w:b/>
          <w:sz w:val="24"/>
          <w:szCs w:val="24"/>
        </w:rPr>
        <w:t>SPECYFIKACJA TECHNICZNA</w:t>
      </w:r>
    </w:p>
    <w:p w:rsidR="00D313CF" w:rsidRDefault="00D313CF" w:rsidP="00D31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52EFB" w:rsidRPr="00D313CF" w:rsidRDefault="00152EFB" w:rsidP="00D31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B386A" w:rsidRPr="00D313CF" w:rsidRDefault="00EB386A" w:rsidP="00502273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13CF">
        <w:rPr>
          <w:rFonts w:ascii="Times New Roman" w:hAnsi="Times New Roman" w:cs="Times New Roman"/>
          <w:b/>
          <w:sz w:val="24"/>
          <w:szCs w:val="24"/>
        </w:rPr>
        <w:t>TABLET</w:t>
      </w:r>
    </w:p>
    <w:p w:rsidR="00EB386A" w:rsidRDefault="00EB386A" w:rsidP="00EB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br/>
        <w:t>Specyfikacja techniczna</w:t>
      </w:r>
      <w:r w:rsidR="00502273" w:rsidRPr="00D313CF">
        <w:rPr>
          <w:rFonts w:ascii="Times New Roman" w:hAnsi="Times New Roman" w:cs="Times New Roman"/>
          <w:sz w:val="24"/>
          <w:szCs w:val="24"/>
        </w:rPr>
        <w:t xml:space="preserve"> taka sama lub podobna</w:t>
      </w:r>
      <w:r w:rsidRPr="00D313CF">
        <w:rPr>
          <w:rFonts w:ascii="Times New Roman" w:hAnsi="Times New Roman" w:cs="Times New Roman"/>
          <w:sz w:val="24"/>
          <w:szCs w:val="24"/>
        </w:rPr>
        <w:br/>
      </w:r>
      <w:r w:rsidRPr="00D313CF">
        <w:rPr>
          <w:rFonts w:ascii="Times New Roman" w:hAnsi="Times New Roman" w:cs="Times New Roman"/>
          <w:sz w:val="24"/>
          <w:szCs w:val="24"/>
        </w:rPr>
        <w:br/>
        <w:t xml:space="preserve">Procesor: 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MediaTek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Dimensity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 xml:space="preserve"> 8300 (8 rdzeni: 1x A715 @3.35 GHz + 3x A715 @3.2 GHz + 4x A510 @2.2 GHz)</w:t>
      </w:r>
      <w:r w:rsidRPr="00D313CF">
        <w:rPr>
          <w:rFonts w:ascii="Times New Roman" w:hAnsi="Times New Roman" w:cs="Times New Roman"/>
          <w:sz w:val="24"/>
          <w:szCs w:val="24"/>
        </w:rPr>
        <w:br/>
        <w:t>Grafika: Zintegrowana ARM G615 MC5</w:t>
      </w:r>
      <w:r w:rsidRPr="00D313CF">
        <w:rPr>
          <w:rFonts w:ascii="Times New Roman" w:hAnsi="Times New Roman" w:cs="Times New Roman"/>
          <w:sz w:val="24"/>
          <w:szCs w:val="24"/>
        </w:rPr>
        <w:br/>
        <w:t>Pamięć wewnętrzna: 128 GB</w:t>
      </w:r>
      <w:r w:rsidRPr="00D313CF">
        <w:rPr>
          <w:rFonts w:ascii="Times New Roman" w:hAnsi="Times New Roman" w:cs="Times New Roman"/>
          <w:sz w:val="24"/>
          <w:szCs w:val="24"/>
        </w:rPr>
        <w:br/>
        <w:t>Pamięć RAM: 8 GB LPDDR5x (wlutowana)</w:t>
      </w:r>
      <w:r w:rsidRPr="00D313CF">
        <w:rPr>
          <w:rFonts w:ascii="Times New Roman" w:hAnsi="Times New Roman" w:cs="Times New Roman"/>
          <w:sz w:val="24"/>
          <w:szCs w:val="24"/>
        </w:rPr>
        <w:br/>
        <w:t xml:space="preserve">Czytnik kart: 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microSD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 xml:space="preserve"> (obsługuje karty do 1 TB, 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exFAT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>)</w:t>
      </w:r>
      <w:r w:rsidRPr="00D313CF">
        <w:rPr>
          <w:rFonts w:ascii="Times New Roman" w:hAnsi="Times New Roman" w:cs="Times New Roman"/>
          <w:sz w:val="24"/>
          <w:szCs w:val="24"/>
        </w:rPr>
        <w:br/>
        <w:t>Przekątna wyświetlacza: 12.7"</w:t>
      </w:r>
      <w:r w:rsidRPr="00D313CF">
        <w:rPr>
          <w:rFonts w:ascii="Times New Roman" w:hAnsi="Times New Roman" w:cs="Times New Roman"/>
          <w:sz w:val="24"/>
          <w:szCs w:val="24"/>
        </w:rPr>
        <w:br/>
        <w:t>Rozdzielczość: 2944 x 1840 (3K)</w:t>
      </w:r>
      <w:r w:rsidRPr="00D313CF">
        <w:rPr>
          <w:rFonts w:ascii="Times New Roman" w:hAnsi="Times New Roman" w:cs="Times New Roman"/>
          <w:sz w:val="24"/>
          <w:szCs w:val="24"/>
        </w:rPr>
        <w:br/>
        <w:t xml:space="preserve">Technologia: LTPS, dotykowy, błyszczący, 400 nitów, 144 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Hz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br/>
        <w:t>Multi-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touch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>: 10-punktowy</w:t>
      </w:r>
      <w:r w:rsidRPr="00D313CF">
        <w:rPr>
          <w:rFonts w:ascii="Times New Roman" w:hAnsi="Times New Roman" w:cs="Times New Roman"/>
          <w:sz w:val="24"/>
          <w:szCs w:val="24"/>
        </w:rPr>
        <w:br/>
        <w:t xml:space="preserve">Głośniki: 4 głośniki JBL® z Dolby 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Atmos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>®</w:t>
      </w:r>
      <w:r w:rsidRPr="00D313CF">
        <w:rPr>
          <w:rFonts w:ascii="Times New Roman" w:hAnsi="Times New Roman" w:cs="Times New Roman"/>
          <w:sz w:val="24"/>
          <w:szCs w:val="24"/>
        </w:rPr>
        <w:br/>
        <w:t>Mikrofony: podwójne</w:t>
      </w:r>
      <w:r w:rsidRPr="00D313CF">
        <w:rPr>
          <w:rFonts w:ascii="Times New Roman" w:hAnsi="Times New Roman" w:cs="Times New Roman"/>
          <w:sz w:val="24"/>
          <w:szCs w:val="24"/>
        </w:rPr>
        <w:br/>
        <w:t>Aparaty: przedni 8 MP, tylny 13 MP z lampą błyskową</w:t>
      </w:r>
      <w:r w:rsidRPr="00D313CF">
        <w:rPr>
          <w:rFonts w:ascii="Times New Roman" w:hAnsi="Times New Roman" w:cs="Times New Roman"/>
          <w:sz w:val="24"/>
          <w:szCs w:val="24"/>
        </w:rPr>
        <w:br/>
        <w:t xml:space="preserve">Pojemność baterii: 10 200 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mAh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 xml:space="preserve"> (typowa)</w:t>
      </w:r>
      <w:r w:rsidRPr="00D313CF">
        <w:rPr>
          <w:rFonts w:ascii="Times New Roman" w:hAnsi="Times New Roman" w:cs="Times New Roman"/>
          <w:sz w:val="24"/>
          <w:szCs w:val="24"/>
        </w:rPr>
        <w:br/>
        <w:t>Ładowarka: 45 W (5~11V / 4.5A maks.)</w:t>
      </w:r>
      <w:r w:rsidRPr="00D313CF">
        <w:rPr>
          <w:rFonts w:ascii="Times New Roman" w:hAnsi="Times New Roman" w:cs="Times New Roman"/>
          <w:sz w:val="24"/>
          <w:szCs w:val="24"/>
        </w:rPr>
        <w:br/>
        <w:t>Łączność: Wi-Fi: Wi-Fi 6E (802.11ax 2x2), Bluetooth 5.3, GPS + GLONASS + Galileo</w:t>
      </w:r>
      <w:r w:rsidRPr="00D313CF">
        <w:rPr>
          <w:rFonts w:ascii="Times New Roman" w:hAnsi="Times New Roman" w:cs="Times New Roman"/>
          <w:sz w:val="24"/>
          <w:szCs w:val="24"/>
        </w:rPr>
        <w:br/>
        <w:t xml:space="preserve">Porty: 1x USB-C (USB 3.2 Gen 1, 5 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Gbps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 xml:space="preserve">, ładowanie, DP-Out, audio), 1x 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microSD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 xml:space="preserve">, 1x 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pogo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 xml:space="preserve"> pin (3-punktowy)</w:t>
      </w:r>
      <w:r w:rsidRPr="00D313CF">
        <w:rPr>
          <w:rFonts w:ascii="Times New Roman" w:hAnsi="Times New Roman" w:cs="Times New Roman"/>
          <w:sz w:val="24"/>
          <w:szCs w:val="24"/>
        </w:rPr>
        <w:br/>
        <w:t>Obudowa: metalowa</w:t>
      </w:r>
      <w:r w:rsidRPr="00D313CF">
        <w:rPr>
          <w:rFonts w:ascii="Times New Roman" w:hAnsi="Times New Roman" w:cs="Times New Roman"/>
          <w:sz w:val="24"/>
          <w:szCs w:val="24"/>
        </w:rPr>
        <w:br/>
        <w:t>Wymiary: 29,1 x 18,9 x 0,69 mm (bez wystającego aparatu)</w:t>
      </w:r>
      <w:r w:rsidRPr="00D313CF">
        <w:rPr>
          <w:rFonts w:ascii="Times New Roman" w:hAnsi="Times New Roman" w:cs="Times New Roman"/>
          <w:sz w:val="24"/>
          <w:szCs w:val="24"/>
        </w:rPr>
        <w:br/>
        <w:t>Waga: ok. 620 g</w:t>
      </w:r>
      <w:r w:rsidRPr="00D313CF">
        <w:rPr>
          <w:rFonts w:ascii="Times New Roman" w:hAnsi="Times New Roman" w:cs="Times New Roman"/>
          <w:sz w:val="24"/>
          <w:szCs w:val="24"/>
        </w:rPr>
        <w:br/>
        <w:t>System operacyjny: Android 14 lub nowszy</w:t>
      </w:r>
    </w:p>
    <w:p w:rsidR="00152EFB" w:rsidRPr="00D313CF" w:rsidRDefault="00152EFB" w:rsidP="00EB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386A" w:rsidRPr="00D313CF" w:rsidRDefault="00502273" w:rsidP="00502273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13CF">
        <w:rPr>
          <w:rFonts w:ascii="Times New Roman" w:hAnsi="Times New Roman" w:cs="Times New Roman"/>
          <w:b/>
          <w:sz w:val="24"/>
          <w:szCs w:val="24"/>
        </w:rPr>
        <w:t>PROJEKTOR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Specyfikacja techniczna taka sama lub podobna</w:t>
      </w:r>
    </w:p>
    <w:p w:rsidR="00152EFB" w:rsidRDefault="00152EFB" w:rsidP="00EB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386A" w:rsidRDefault="00502273" w:rsidP="00EB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B</w:t>
      </w:r>
      <w:r w:rsidR="00EB386A" w:rsidRPr="00D313CF">
        <w:rPr>
          <w:rFonts w:ascii="Times New Roman" w:hAnsi="Times New Roman" w:cs="Times New Roman"/>
          <w:sz w:val="24"/>
          <w:szCs w:val="24"/>
        </w:rPr>
        <w:t>ezprzewodowy projektor Full HD do współdzielenia pracy</w:t>
      </w:r>
    </w:p>
    <w:p w:rsidR="00EB4BAF" w:rsidRPr="00EB4BAF" w:rsidRDefault="00EB4BAF" w:rsidP="00EB4B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BAF">
        <w:rPr>
          <w:rFonts w:ascii="Times New Roman" w:hAnsi="Times New Roman" w:cs="Times New Roman"/>
          <w:sz w:val="24"/>
          <w:szCs w:val="24"/>
        </w:rPr>
        <w:t>System projekcyjny: Technologia 3LCD, Ciekłokrystaliczna migawka RGB</w:t>
      </w:r>
    </w:p>
    <w:p w:rsidR="00EB4BAF" w:rsidRPr="00EB4BAF" w:rsidRDefault="00EB4BAF" w:rsidP="00EB4B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EB4BAF">
        <w:rPr>
          <w:rFonts w:ascii="Times New Roman" w:hAnsi="Times New Roman" w:cs="Times New Roman"/>
          <w:sz w:val="24"/>
          <w:szCs w:val="24"/>
          <w:lang w:val="en-GB"/>
        </w:rPr>
        <w:t xml:space="preserve">Panel LCD: 0,62 </w:t>
      </w:r>
      <w:proofErr w:type="spellStart"/>
      <w:r w:rsidRPr="00EB4BAF">
        <w:rPr>
          <w:rFonts w:ascii="Times New Roman" w:hAnsi="Times New Roman" w:cs="Times New Roman"/>
          <w:sz w:val="24"/>
          <w:szCs w:val="24"/>
          <w:lang w:val="en-GB"/>
        </w:rPr>
        <w:t>cal</w:t>
      </w:r>
      <w:proofErr w:type="spellEnd"/>
      <w:r w:rsidRPr="00EB4BAF">
        <w:rPr>
          <w:rFonts w:ascii="Times New Roman" w:hAnsi="Times New Roman" w:cs="Times New Roman"/>
          <w:sz w:val="24"/>
          <w:szCs w:val="24"/>
          <w:lang w:val="en-GB"/>
        </w:rPr>
        <w:t xml:space="preserve"> z C2 Fine</w:t>
      </w:r>
    </w:p>
    <w:p w:rsidR="00EB4BAF" w:rsidRPr="00EB4BAF" w:rsidRDefault="00EB4BAF" w:rsidP="00EB4B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BAF">
        <w:rPr>
          <w:rFonts w:ascii="Times New Roman" w:hAnsi="Times New Roman" w:cs="Times New Roman"/>
          <w:sz w:val="24"/>
          <w:szCs w:val="24"/>
        </w:rPr>
        <w:t>Natężenie światła barwnego: 4.100 lumen- 2.300 lumen (tryb ekonomiczny) zgodne z normą IDMS15.4</w:t>
      </w:r>
    </w:p>
    <w:p w:rsidR="00EB4BAF" w:rsidRPr="00EB4BAF" w:rsidRDefault="00EB4BAF" w:rsidP="00EB4B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BAF">
        <w:rPr>
          <w:rFonts w:ascii="Times New Roman" w:hAnsi="Times New Roman" w:cs="Times New Roman"/>
          <w:sz w:val="24"/>
          <w:szCs w:val="24"/>
        </w:rPr>
        <w:t xml:space="preserve">Natężenie światła białego: 4.100 lumen - 2.300 lumen (tryb ekonomiczny) In </w:t>
      </w:r>
      <w:proofErr w:type="spellStart"/>
      <w:r w:rsidRPr="00EB4BAF">
        <w:rPr>
          <w:rFonts w:ascii="Times New Roman" w:hAnsi="Times New Roman" w:cs="Times New Roman"/>
          <w:sz w:val="24"/>
          <w:szCs w:val="24"/>
        </w:rPr>
        <w:t>accordance</w:t>
      </w:r>
      <w:proofErr w:type="spellEnd"/>
      <w:r w:rsidRPr="00EB4BAF">
        <w:rPr>
          <w:rFonts w:ascii="Times New Roman" w:hAnsi="Times New Roman" w:cs="Times New Roman"/>
          <w:sz w:val="24"/>
          <w:szCs w:val="24"/>
        </w:rPr>
        <w:t xml:space="preserve"> with ISO 21118:2020</w:t>
      </w:r>
    </w:p>
    <w:p w:rsidR="00EB4BAF" w:rsidRPr="00EB4BAF" w:rsidRDefault="00EB4BAF" w:rsidP="00EB4B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BAF">
        <w:rPr>
          <w:rFonts w:ascii="Times New Roman" w:hAnsi="Times New Roman" w:cs="Times New Roman"/>
          <w:sz w:val="24"/>
          <w:szCs w:val="24"/>
        </w:rPr>
        <w:t>Rozdzielczość: 1080p</w:t>
      </w:r>
    </w:p>
    <w:p w:rsidR="00EB4BAF" w:rsidRPr="00EB4BAF" w:rsidRDefault="00EB4BAF" w:rsidP="00EB4B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BAF">
        <w:rPr>
          <w:rFonts w:ascii="Times New Roman" w:hAnsi="Times New Roman" w:cs="Times New Roman"/>
          <w:sz w:val="24"/>
          <w:szCs w:val="24"/>
        </w:rPr>
        <w:t>Współczynnik proporcji obrazu: 16:9</w:t>
      </w:r>
    </w:p>
    <w:p w:rsidR="00EB4BAF" w:rsidRPr="00EB4BAF" w:rsidRDefault="00EB4BAF" w:rsidP="00EB4B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BAF">
        <w:rPr>
          <w:rFonts w:ascii="Times New Roman" w:hAnsi="Times New Roman" w:cs="Times New Roman"/>
          <w:sz w:val="24"/>
          <w:szCs w:val="24"/>
        </w:rPr>
        <w:t>Stosunek kontrastu: 16.000 : 1</w:t>
      </w:r>
    </w:p>
    <w:p w:rsidR="00EB4BAF" w:rsidRPr="00EB4BAF" w:rsidRDefault="00EB4BAF" w:rsidP="00EB4B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BAF">
        <w:rPr>
          <w:rFonts w:ascii="Times New Roman" w:hAnsi="Times New Roman" w:cs="Times New Roman"/>
          <w:sz w:val="24"/>
          <w:szCs w:val="24"/>
        </w:rPr>
        <w:t>Źródło światła: Lampa</w:t>
      </w:r>
    </w:p>
    <w:p w:rsidR="00EB4BAF" w:rsidRPr="00EB4BAF" w:rsidRDefault="00EB4BAF" w:rsidP="00EB4B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BAF">
        <w:rPr>
          <w:rFonts w:ascii="Times New Roman" w:hAnsi="Times New Roman" w:cs="Times New Roman"/>
          <w:sz w:val="24"/>
          <w:szCs w:val="24"/>
        </w:rPr>
        <w:t>Lampa: UHE, 230 W, 5.500 h Żywotność, 12.000 h Żywotność (w trybie oszczędnym)</w:t>
      </w:r>
    </w:p>
    <w:p w:rsidR="00EB4BAF" w:rsidRPr="00EB4BAF" w:rsidRDefault="00EB4BAF" w:rsidP="00EB4B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BAF">
        <w:rPr>
          <w:rFonts w:ascii="Times New Roman" w:hAnsi="Times New Roman" w:cs="Times New Roman"/>
          <w:sz w:val="24"/>
          <w:szCs w:val="24"/>
        </w:rPr>
        <w:t>Korekcja obrazu: Auto pionowo: ±30 °</w:t>
      </w:r>
    </w:p>
    <w:p w:rsidR="00EB4BAF" w:rsidRPr="00EB4BAF" w:rsidRDefault="00EB4BAF" w:rsidP="00EB4B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BAF">
        <w:rPr>
          <w:rFonts w:ascii="Times New Roman" w:hAnsi="Times New Roman" w:cs="Times New Roman"/>
          <w:sz w:val="24"/>
          <w:szCs w:val="24"/>
        </w:rPr>
        <w:t>Przetwarzanie wideo: 8 Bit</w:t>
      </w:r>
    </w:p>
    <w:p w:rsidR="00EB4BAF" w:rsidRPr="00EB4BAF" w:rsidRDefault="00EB4BAF" w:rsidP="00EB4B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BAF">
        <w:rPr>
          <w:rFonts w:ascii="Times New Roman" w:hAnsi="Times New Roman" w:cs="Times New Roman"/>
          <w:sz w:val="24"/>
          <w:szCs w:val="24"/>
        </w:rPr>
        <w:t>Odwzorowanie kolorów: 16,77 mln kolorów</w:t>
      </w:r>
    </w:p>
    <w:p w:rsidR="00EB4BAF" w:rsidRPr="00EB4BAF" w:rsidRDefault="00EB4BAF" w:rsidP="00EB4B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BAF">
        <w:rPr>
          <w:rFonts w:ascii="Times New Roman" w:hAnsi="Times New Roman" w:cs="Times New Roman"/>
          <w:sz w:val="24"/>
          <w:szCs w:val="24"/>
        </w:rPr>
        <w:lastRenderedPageBreak/>
        <w:t>Współczynnik rzutu: 1,30 - 2,09:1</w:t>
      </w:r>
    </w:p>
    <w:p w:rsidR="00EB4BAF" w:rsidRPr="00EB4BAF" w:rsidRDefault="00EB4BAF" w:rsidP="00EB4B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BAF">
        <w:rPr>
          <w:rFonts w:ascii="Times New Roman" w:hAnsi="Times New Roman" w:cs="Times New Roman"/>
          <w:sz w:val="24"/>
          <w:szCs w:val="24"/>
        </w:rPr>
        <w:t xml:space="preserve">Zoom: Manual, </w:t>
      </w:r>
      <w:proofErr w:type="spellStart"/>
      <w:r w:rsidRPr="00EB4BAF">
        <w:rPr>
          <w:rFonts w:ascii="Times New Roman" w:hAnsi="Times New Roman" w:cs="Times New Roman"/>
          <w:sz w:val="24"/>
          <w:szCs w:val="24"/>
        </w:rPr>
        <w:t>Factor</w:t>
      </w:r>
      <w:proofErr w:type="spellEnd"/>
      <w:r w:rsidRPr="00EB4BAF">
        <w:rPr>
          <w:rFonts w:ascii="Times New Roman" w:hAnsi="Times New Roman" w:cs="Times New Roman"/>
          <w:sz w:val="24"/>
          <w:szCs w:val="24"/>
        </w:rPr>
        <w:t>: 1 - 1,62</w:t>
      </w:r>
    </w:p>
    <w:p w:rsidR="00EB4BAF" w:rsidRPr="00EB4BAF" w:rsidRDefault="00EB4BAF" w:rsidP="00EB4B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BAF">
        <w:rPr>
          <w:rFonts w:ascii="Times New Roman" w:hAnsi="Times New Roman" w:cs="Times New Roman"/>
          <w:sz w:val="24"/>
          <w:szCs w:val="24"/>
        </w:rPr>
        <w:t>Rozmiar projekcji: 31 cale - 304 cale</w:t>
      </w:r>
    </w:p>
    <w:p w:rsidR="00EB4BAF" w:rsidRPr="00EB4BAF" w:rsidRDefault="00EB4BAF" w:rsidP="00EB4B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BAF">
        <w:rPr>
          <w:rFonts w:ascii="Times New Roman" w:hAnsi="Times New Roman" w:cs="Times New Roman"/>
          <w:sz w:val="24"/>
          <w:szCs w:val="24"/>
        </w:rPr>
        <w:t>Odległość projekcyjna, system szerokokątny: 0,9 m - 8,9 m</w:t>
      </w:r>
    </w:p>
    <w:p w:rsidR="00EB4BAF" w:rsidRPr="00EB4BAF" w:rsidRDefault="00EB4BAF" w:rsidP="00EB4B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BAF">
        <w:rPr>
          <w:rFonts w:ascii="Times New Roman" w:hAnsi="Times New Roman" w:cs="Times New Roman"/>
          <w:sz w:val="24"/>
          <w:szCs w:val="24"/>
        </w:rPr>
        <w:t>Odległość projekcyjna, system Tele: 1,4 m - 14,3 m</w:t>
      </w:r>
    </w:p>
    <w:p w:rsidR="00EB4BAF" w:rsidRPr="00EB4BAF" w:rsidRDefault="00EB4BAF" w:rsidP="00EB4B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BAF">
        <w:rPr>
          <w:rFonts w:ascii="Times New Roman" w:hAnsi="Times New Roman" w:cs="Times New Roman"/>
          <w:sz w:val="24"/>
          <w:szCs w:val="24"/>
        </w:rPr>
        <w:t>Odległość wyświetlania, tryb szerokokątny/</w:t>
      </w:r>
      <w:proofErr w:type="spellStart"/>
      <w:r w:rsidRPr="00EB4BAF">
        <w:rPr>
          <w:rFonts w:ascii="Times New Roman" w:hAnsi="Times New Roman" w:cs="Times New Roman"/>
          <w:sz w:val="24"/>
          <w:szCs w:val="24"/>
        </w:rPr>
        <w:t>tele</w:t>
      </w:r>
      <w:proofErr w:type="spellEnd"/>
      <w:r w:rsidRPr="00EB4BAF">
        <w:rPr>
          <w:rFonts w:ascii="Times New Roman" w:hAnsi="Times New Roman" w:cs="Times New Roman"/>
          <w:sz w:val="24"/>
          <w:szCs w:val="24"/>
        </w:rPr>
        <w:t>: 0,88 m - 14,29 m</w:t>
      </w:r>
    </w:p>
    <w:p w:rsidR="00EB4BAF" w:rsidRPr="00EB4BAF" w:rsidRDefault="00EB4BAF" w:rsidP="00EB4B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BAF">
        <w:rPr>
          <w:rFonts w:ascii="Times New Roman" w:hAnsi="Times New Roman" w:cs="Times New Roman"/>
          <w:sz w:val="24"/>
          <w:szCs w:val="24"/>
        </w:rPr>
        <w:t>Wartość przesłony obiektywu projekcyjnego: 1,51 - 1,77</w:t>
      </w:r>
    </w:p>
    <w:p w:rsidR="00EB4BAF" w:rsidRPr="00EB4BAF" w:rsidRDefault="00EB4BAF" w:rsidP="00EB4B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BAF">
        <w:rPr>
          <w:rFonts w:ascii="Times New Roman" w:hAnsi="Times New Roman" w:cs="Times New Roman"/>
          <w:sz w:val="24"/>
          <w:szCs w:val="24"/>
        </w:rPr>
        <w:t>Odległość ogniskowa: 18,2 mm - 29,1 mm</w:t>
      </w:r>
    </w:p>
    <w:p w:rsidR="00EB4BAF" w:rsidRPr="00EB4BAF" w:rsidRDefault="00EB4BAF" w:rsidP="00EB4B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BAF">
        <w:rPr>
          <w:rFonts w:ascii="Times New Roman" w:hAnsi="Times New Roman" w:cs="Times New Roman"/>
          <w:sz w:val="24"/>
          <w:szCs w:val="24"/>
        </w:rPr>
        <w:t>Fokus: Ręcznie</w:t>
      </w:r>
    </w:p>
    <w:p w:rsidR="00EB4BAF" w:rsidRPr="00EB4BAF" w:rsidRDefault="00EB4BAF" w:rsidP="00EB4B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BAF">
        <w:rPr>
          <w:rFonts w:ascii="Times New Roman" w:hAnsi="Times New Roman" w:cs="Times New Roman"/>
          <w:sz w:val="24"/>
          <w:szCs w:val="24"/>
        </w:rPr>
        <w:t>Przesunięcie: 10 : 1</w:t>
      </w:r>
    </w:p>
    <w:p w:rsidR="00EB4BAF" w:rsidRPr="00EB4BAF" w:rsidRDefault="00EB4BAF" w:rsidP="00EB4B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BAF">
        <w:rPr>
          <w:rFonts w:ascii="Times New Roman" w:hAnsi="Times New Roman" w:cs="Times New Roman"/>
          <w:sz w:val="24"/>
          <w:szCs w:val="24"/>
        </w:rPr>
        <w:t>Przyłącza: USB 2.0-A, USB 2.0 typu B (tylko serwisowe), Bezprzewodowa sieć LAN IEEE 802.11a/b/g/n/</w:t>
      </w:r>
      <w:proofErr w:type="spellStart"/>
      <w:r w:rsidRPr="00EB4BAF">
        <w:rPr>
          <w:rFonts w:ascii="Times New Roman" w:hAnsi="Times New Roman" w:cs="Times New Roman"/>
          <w:sz w:val="24"/>
          <w:szCs w:val="24"/>
        </w:rPr>
        <w:t>ac</w:t>
      </w:r>
      <w:proofErr w:type="spellEnd"/>
      <w:r w:rsidRPr="00EB4BAF">
        <w:rPr>
          <w:rFonts w:ascii="Times New Roman" w:hAnsi="Times New Roman" w:cs="Times New Roman"/>
          <w:sz w:val="24"/>
          <w:szCs w:val="24"/>
        </w:rPr>
        <w:t>,</w:t>
      </w:r>
    </w:p>
    <w:p w:rsidR="00EB4BAF" w:rsidRPr="00EB4BAF" w:rsidRDefault="00EB4BAF" w:rsidP="00EB4B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BAF">
        <w:rPr>
          <w:rFonts w:ascii="Times New Roman" w:hAnsi="Times New Roman" w:cs="Times New Roman"/>
          <w:sz w:val="24"/>
          <w:szCs w:val="24"/>
        </w:rPr>
        <w:t xml:space="preserve">Wejście HDMI (2x), </w:t>
      </w:r>
      <w:proofErr w:type="spellStart"/>
      <w:r w:rsidRPr="00EB4BAF">
        <w:rPr>
          <w:rFonts w:ascii="Times New Roman" w:hAnsi="Times New Roman" w:cs="Times New Roman"/>
          <w:sz w:val="24"/>
          <w:szCs w:val="24"/>
        </w:rPr>
        <w:t>Miracast</w:t>
      </w:r>
      <w:proofErr w:type="spellEnd"/>
      <w:r w:rsidRPr="00EB4BAF">
        <w:rPr>
          <w:rFonts w:ascii="Times New Roman" w:hAnsi="Times New Roman" w:cs="Times New Roman"/>
          <w:sz w:val="24"/>
          <w:szCs w:val="24"/>
        </w:rPr>
        <w:t xml:space="preserve">, Gniazdo wtykowe wyjściowe, Apple </w:t>
      </w:r>
      <w:proofErr w:type="spellStart"/>
      <w:r w:rsidRPr="00EB4BAF">
        <w:rPr>
          <w:rFonts w:ascii="Times New Roman" w:hAnsi="Times New Roman" w:cs="Times New Roman"/>
          <w:sz w:val="24"/>
          <w:szCs w:val="24"/>
        </w:rPr>
        <w:t>AirPlay</w:t>
      </w:r>
      <w:proofErr w:type="spellEnd"/>
      <w:r w:rsidRPr="00EB4BAF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EB4BAF" w:rsidRDefault="00EB4BAF" w:rsidP="00EB4B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BAF">
        <w:rPr>
          <w:rFonts w:ascii="Times New Roman" w:hAnsi="Times New Roman" w:cs="Times New Roman"/>
          <w:sz w:val="24"/>
          <w:szCs w:val="24"/>
        </w:rPr>
        <w:t>Protokół sieciowy: HTTPS, IPv6, SNMP</w:t>
      </w:r>
    </w:p>
    <w:p w:rsidR="00EB4BAF" w:rsidRPr="00D313CF" w:rsidRDefault="00EB4BAF" w:rsidP="00EB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386A" w:rsidRPr="00D313CF" w:rsidRDefault="00EB386A" w:rsidP="00EB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Jasny i szybki, a jednocześnie duży i elastyczny Wyposażony w technologię 3LCD projektor Full HD o jasności 4 100 lumenów zapewnia doskonałą jakość obrazu i przyciąga uwagę dzięki możliwości skalowania rozmiaru obrazu do 304˝.</w:t>
      </w:r>
    </w:p>
    <w:p w:rsidR="00EB386A" w:rsidRPr="00D313CF" w:rsidRDefault="00EB386A" w:rsidP="00EB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386A" w:rsidRPr="00D313CF" w:rsidRDefault="00EB386A" w:rsidP="00EB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 xml:space="preserve">• Udostępnianie na wielu urządzeniach Aplikacja </w:t>
      </w:r>
      <w:r w:rsidR="00EB4BAF">
        <w:rPr>
          <w:rFonts w:ascii="Times New Roman" w:hAnsi="Times New Roman" w:cs="Times New Roman"/>
          <w:sz w:val="24"/>
          <w:szCs w:val="24"/>
        </w:rPr>
        <w:t>x</w:t>
      </w:r>
      <w:r w:rsidRPr="00D313CF">
        <w:rPr>
          <w:rFonts w:ascii="Times New Roman" w:hAnsi="Times New Roman" w:cs="Times New Roman"/>
          <w:sz w:val="24"/>
          <w:szCs w:val="24"/>
        </w:rPr>
        <w:t xml:space="preserve"> łączy i kontroluje maksymalnie 4 urządzenia, a funkcja dzielenia ekranu umożliwia wyświetlanie 2 źródeł obrazu, co eliminuje konieczność korzystania z dodatkowego projektora.</w:t>
      </w:r>
    </w:p>
    <w:p w:rsidR="00EB386A" w:rsidRPr="00D313CF" w:rsidRDefault="00EB386A" w:rsidP="00EB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386A" w:rsidRPr="00D313CF" w:rsidRDefault="00EB386A" w:rsidP="00EB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Przenośna i wszechstronna konstrukcja</w:t>
      </w:r>
      <w:r w:rsidR="00EB4BAF">
        <w:rPr>
          <w:rFonts w:ascii="Times New Roman" w:hAnsi="Times New Roman" w:cs="Times New Roman"/>
          <w:sz w:val="24"/>
          <w:szCs w:val="24"/>
        </w:rPr>
        <w:t xml:space="preserve">, </w:t>
      </w:r>
      <w:r w:rsidRPr="00D313CF">
        <w:rPr>
          <w:rFonts w:ascii="Times New Roman" w:hAnsi="Times New Roman" w:cs="Times New Roman"/>
          <w:sz w:val="24"/>
          <w:szCs w:val="24"/>
        </w:rPr>
        <w:t>lekki i kompaktowy wyświetlacz jest idealny do różnych przestrzeni i ma wbudowany głośnik ułatwiający konfigurację.</w:t>
      </w:r>
    </w:p>
    <w:p w:rsidR="00EB386A" w:rsidRPr="00D313CF" w:rsidRDefault="00EB386A" w:rsidP="00EB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386A" w:rsidRPr="00D313CF" w:rsidRDefault="00EB386A" w:rsidP="00EB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Natychmiastowa korekcja obrazu Funkcja automatycznej korekcji geometrii w pionie natychmiast wykrywa i koryguje zniekształcenia obrazu poprzez dostosowanie wysokości za pomocą dźwigni nożnej, usprawniając konfigurację i oszczędzając cenny czas.</w:t>
      </w:r>
    </w:p>
    <w:p w:rsidR="00EB386A" w:rsidRPr="00D313CF" w:rsidRDefault="00EB386A" w:rsidP="00EB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386A" w:rsidRPr="00D313CF" w:rsidRDefault="00EB386A" w:rsidP="00EB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 xml:space="preserve">• Wysoka niezawodność i bezproblemowość Niezawodny tak jak inne produkty firmy </w:t>
      </w:r>
      <w:r w:rsidR="00EB4BAF">
        <w:rPr>
          <w:rFonts w:ascii="Times New Roman" w:hAnsi="Times New Roman" w:cs="Times New Roman"/>
          <w:sz w:val="24"/>
          <w:szCs w:val="24"/>
        </w:rPr>
        <w:t xml:space="preserve">x </w:t>
      </w:r>
      <w:r w:rsidRPr="00D313CF">
        <w:rPr>
          <w:rFonts w:ascii="Times New Roman" w:hAnsi="Times New Roman" w:cs="Times New Roman"/>
          <w:sz w:val="24"/>
          <w:szCs w:val="24"/>
        </w:rPr>
        <w:t>jest objęty 3-letnią gwarancją i charakteryzuje się długim czasem eksploatacji lampy (12 000 godzin w trybie ekonomicznym), co zapewnia nieprzerwane użytkowanie.</w:t>
      </w:r>
    </w:p>
    <w:p w:rsidR="00EB386A" w:rsidRPr="00D313CF" w:rsidRDefault="00EB386A" w:rsidP="00EB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2EFB" w:rsidRPr="00D313CF" w:rsidRDefault="00EB386A" w:rsidP="00EB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 xml:space="preserve">• Natychmiastowa łączność dzięki obsłudze protokołów Apple 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AirPlay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 xml:space="preserve"> 2 i Miracast1 Bezproblemowo udostępniaj treści z laptopów, tabletów i smartfonów – w sam raz w przypadku konfiguracji urządzeń w ramach rozwiązań BYOD (ang. 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Bring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Own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 xml:space="preserve"> Device) i miejsc współpracy.</w:t>
      </w:r>
    </w:p>
    <w:p w:rsidR="00502273" w:rsidRPr="00D313CF" w:rsidRDefault="00502273" w:rsidP="00EB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13CF" w:rsidRPr="00D313CF" w:rsidRDefault="00D313CF" w:rsidP="00D313C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13CF">
        <w:rPr>
          <w:rFonts w:ascii="Times New Roman" w:hAnsi="Times New Roman" w:cs="Times New Roman"/>
          <w:b/>
          <w:sz w:val="24"/>
          <w:szCs w:val="24"/>
        </w:rPr>
        <w:t xml:space="preserve">Zestaw - </w:t>
      </w:r>
      <w:r w:rsidR="006B1746" w:rsidRPr="00D313CF">
        <w:rPr>
          <w:rFonts w:ascii="Times New Roman" w:hAnsi="Times New Roman" w:cs="Times New Roman"/>
          <w:b/>
          <w:sz w:val="24"/>
          <w:szCs w:val="24"/>
        </w:rPr>
        <w:t>ROBOT PHOTON</w:t>
      </w:r>
      <w:r w:rsidRPr="00D313CF">
        <w:rPr>
          <w:rFonts w:ascii="Times New Roman" w:hAnsi="Times New Roman" w:cs="Times New Roman"/>
          <w:b/>
          <w:sz w:val="24"/>
          <w:szCs w:val="24"/>
        </w:rPr>
        <w:t xml:space="preserve"> + Magic </w:t>
      </w:r>
      <w:proofErr w:type="spellStart"/>
      <w:r w:rsidRPr="00D313CF">
        <w:rPr>
          <w:rFonts w:ascii="Times New Roman" w:hAnsi="Times New Roman" w:cs="Times New Roman"/>
          <w:b/>
          <w:sz w:val="24"/>
          <w:szCs w:val="24"/>
        </w:rPr>
        <w:t>Dongle</w:t>
      </w:r>
      <w:proofErr w:type="spellEnd"/>
      <w:r w:rsidRPr="00D313CF">
        <w:rPr>
          <w:rFonts w:ascii="Times New Roman" w:hAnsi="Times New Roman" w:cs="Times New Roman"/>
          <w:b/>
          <w:sz w:val="24"/>
          <w:szCs w:val="24"/>
        </w:rPr>
        <w:t xml:space="preserve">, Aplikacje </w:t>
      </w:r>
      <w:proofErr w:type="spellStart"/>
      <w:r w:rsidRPr="00D313CF">
        <w:rPr>
          <w:rFonts w:ascii="Times New Roman" w:hAnsi="Times New Roman" w:cs="Times New Roman"/>
          <w:b/>
          <w:sz w:val="24"/>
          <w:szCs w:val="24"/>
        </w:rPr>
        <w:t>Photon</w:t>
      </w:r>
      <w:proofErr w:type="spellEnd"/>
      <w:r w:rsidRPr="00D313CF">
        <w:rPr>
          <w:rFonts w:ascii="Times New Roman" w:hAnsi="Times New Roman" w:cs="Times New Roman"/>
          <w:b/>
          <w:sz w:val="24"/>
          <w:szCs w:val="24"/>
        </w:rPr>
        <w:t xml:space="preserve"> EDU i </w:t>
      </w:r>
      <w:proofErr w:type="spellStart"/>
      <w:r w:rsidRPr="00D313CF">
        <w:rPr>
          <w:rFonts w:ascii="Times New Roman" w:hAnsi="Times New Roman" w:cs="Times New Roman"/>
          <w:b/>
          <w:sz w:val="24"/>
          <w:szCs w:val="24"/>
        </w:rPr>
        <w:t>Photon</w:t>
      </w:r>
      <w:proofErr w:type="spellEnd"/>
      <w:r w:rsidRPr="00D313CF">
        <w:rPr>
          <w:rFonts w:ascii="Times New Roman" w:hAnsi="Times New Roman" w:cs="Times New Roman"/>
          <w:b/>
          <w:sz w:val="24"/>
          <w:szCs w:val="24"/>
        </w:rPr>
        <w:t xml:space="preserve"> Magic Bridge</w:t>
      </w:r>
    </w:p>
    <w:p w:rsidR="00D313CF" w:rsidRPr="00D313CF" w:rsidRDefault="00D313CF" w:rsidP="00D31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B1746" w:rsidRPr="00D313CF" w:rsidRDefault="00502273" w:rsidP="00EB38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Specyfikacja techniczna taka sama lub podobna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 xml:space="preserve">WIELKOŚĆ    </w:t>
      </w:r>
      <w:r w:rsidRPr="00D313CF">
        <w:rPr>
          <w:rFonts w:ascii="Times New Roman" w:hAnsi="Times New Roman" w:cs="Times New Roman"/>
          <w:sz w:val="24"/>
          <w:szCs w:val="24"/>
        </w:rPr>
        <w:tab/>
        <w:t>Szerokość: 17,2 cm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Długość: 17 cm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Wysokość: 19 cm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WAGA</w:t>
      </w:r>
      <w:r w:rsidRPr="00D313CF">
        <w:rPr>
          <w:rFonts w:ascii="Times New Roman" w:hAnsi="Times New Roman" w:cs="Times New Roman"/>
          <w:sz w:val="24"/>
          <w:szCs w:val="24"/>
        </w:rPr>
        <w:tab/>
        <w:t>690 g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ZASILANIE</w:t>
      </w:r>
      <w:r w:rsidRPr="00D313CF">
        <w:rPr>
          <w:rFonts w:ascii="Times New Roman" w:hAnsi="Times New Roman" w:cs="Times New Roman"/>
          <w:sz w:val="24"/>
          <w:szCs w:val="24"/>
        </w:rPr>
        <w:tab/>
        <w:t xml:space="preserve">Wbudowany akumulator 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litowo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 xml:space="preserve">-jonowy 2600mAh (9.62 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Wh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>) z czasem pracy do 8 godzin.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 xml:space="preserve">ŁADOWANIE    </w:t>
      </w:r>
      <w:r w:rsidRPr="00D313CF">
        <w:rPr>
          <w:rFonts w:ascii="Times New Roman" w:hAnsi="Times New Roman" w:cs="Times New Roman"/>
          <w:sz w:val="24"/>
          <w:szCs w:val="24"/>
        </w:rPr>
        <w:tab/>
        <w:t xml:space="preserve">Poprzez wbudowane złącze 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microUSB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>.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lastRenderedPageBreak/>
        <w:t>ŁĄCZNOŚĆ</w:t>
      </w:r>
      <w:r w:rsidRPr="00D313CF">
        <w:rPr>
          <w:rFonts w:ascii="Times New Roman" w:hAnsi="Times New Roman" w:cs="Times New Roman"/>
          <w:sz w:val="24"/>
          <w:szCs w:val="24"/>
        </w:rPr>
        <w:tab/>
        <w:t xml:space="preserve">Bluetooth 4.0 / 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 xml:space="preserve"> Energy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 xml:space="preserve">CZUJNIKI 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 xml:space="preserve">I FUNKCJONALNOŚĆ     </w:t>
      </w:r>
      <w:r w:rsidRPr="00D313CF">
        <w:rPr>
          <w:rFonts w:ascii="Times New Roman" w:hAnsi="Times New Roman" w:cs="Times New Roman"/>
          <w:sz w:val="24"/>
          <w:szCs w:val="24"/>
        </w:rPr>
        <w:tab/>
        <w:t>• Czujnik wykrywania dźwięku (mikrofon): 1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Głośnik: 1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Światła – oczy: diody LED RGB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Światła – czułki: diody LED RGB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Światło punktowe: dioda LED RGB (z tyłu)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Czujnik detekcji przeszkód: 1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Sensor odległości: 1 (zakres do 100 cm)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Czujnik dotyku: 1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Czujniki kontrastu podłoża: 2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System śledzenia czarnej linii na podłożu: 1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System mierzenia precyzji ruchu: 2 (pomiar przejechanej przez robota odległości i kątów obrotu)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 xml:space="preserve">• Gniazdo 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microUSB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 xml:space="preserve"> umożliwiające komunikację z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urządzeniami zewnętrznymi: 1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Dodatkowe akcesoria: TAK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Wbudowane gniazda magnetyczne do akcesoriów: 6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Komunikacja z innymi robotami: TAK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Możliwość nagrywania własnych dźwięków: TAK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 xml:space="preserve">KONSTRUKCJA   </w:t>
      </w:r>
      <w:r w:rsidRPr="00D313C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Konstrukcja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 xml:space="preserve"> zamknięta, bez wystających kabli - w pełni bezpieczna dla dzieci powyżej 3. roku życia.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Obudowa wykonana z poliwęglanu. Testy wytrzymałości potwierdziły wysoką odporność robota na uderzenia i upadki.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Czułki robota wykonane z materiału uniemożliwiającego ich uszkodzenie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CERTYFIKATY I STANDARDY</w:t>
      </w:r>
      <w:r w:rsidRPr="00D313CF">
        <w:rPr>
          <w:rFonts w:ascii="Times New Roman" w:hAnsi="Times New Roman" w:cs="Times New Roman"/>
          <w:sz w:val="24"/>
          <w:szCs w:val="24"/>
        </w:rPr>
        <w:tab/>
        <w:t>Deklaracja zgodności CE (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RoHS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>, EN-71)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GWARANCJA</w:t>
      </w:r>
      <w:r w:rsidRPr="00D313CF">
        <w:rPr>
          <w:rFonts w:ascii="Times New Roman" w:hAnsi="Times New Roman" w:cs="Times New Roman"/>
          <w:sz w:val="24"/>
          <w:szCs w:val="24"/>
        </w:rPr>
        <w:tab/>
        <w:t>2 lata, naprawa do 14 dni roboczych od otrzymania robota przez producenta, produkcja i serwis urządzeń w Polsce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W ZESTAWIE</w:t>
      </w:r>
      <w:r w:rsidRPr="00D313CF">
        <w:rPr>
          <w:rFonts w:ascii="Times New Roman" w:hAnsi="Times New Roman" w:cs="Times New Roman"/>
          <w:sz w:val="24"/>
          <w:szCs w:val="24"/>
        </w:rPr>
        <w:tab/>
        <w:t>• 1 sztuka robota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Kabel USB do ładowania robota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Dostęp do dedykowanych nauczycielom scenariuszy prowadzenia zajęć i podręcznika w wersjach cyfrowych (kart pracy dla uczniów, przykłady i propozycje zajęć dydaktycznych z wykorzystaniem robota, zgodnych z przyjętą podstawą programową) oraz do dedykowanych aplikacji</w:t>
      </w:r>
    </w:p>
    <w:p w:rsidR="00031EC8" w:rsidRPr="00D313CF" w:rsidRDefault="00031EC8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Instrukcja „Jak zacząć”</w:t>
      </w:r>
    </w:p>
    <w:p w:rsidR="00031EC8" w:rsidRPr="00D313CF" w:rsidRDefault="00031EC8" w:rsidP="006B1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1746" w:rsidRPr="00D313CF" w:rsidRDefault="006B1746" w:rsidP="006B1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 xml:space="preserve">dostęp do cyfrowej wersji podręcznika do pracy z robotem, który zawiera informacje dotyczące możliwości wykorzystania 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Photona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 xml:space="preserve"> na lekcjach,</w:t>
      </w:r>
    </w:p>
    <w:p w:rsidR="006B1746" w:rsidRPr="00D313CF" w:rsidRDefault="006B1746" w:rsidP="006B1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 xml:space="preserve">dostęp do dedykowanych aplikacji, które umożliwiają sterowanie robotem za pomocą zróżnicowanych narzędzi, </w:t>
      </w:r>
    </w:p>
    <w:p w:rsidR="006B1746" w:rsidRPr="00D313CF" w:rsidRDefault="006B1746" w:rsidP="006B1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 xml:space="preserve">wersje cyfrowe scenariuszy zgodnych z podstawą programową 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MEiN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 xml:space="preserve"> i materiałów dydaktycznych, dostęp do wsparcia technicznego i merytorycznego</w:t>
      </w:r>
    </w:p>
    <w:p w:rsidR="00502273" w:rsidRPr="00D313CF" w:rsidRDefault="00502273" w:rsidP="006B1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2273" w:rsidRPr="00D313CF" w:rsidRDefault="00502273" w:rsidP="006B1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2097" w:rsidRPr="00D313CF" w:rsidRDefault="00152EFB" w:rsidP="00031EC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2EFB">
        <w:rPr>
          <w:rFonts w:ascii="Times New Roman" w:hAnsi="Times New Roman" w:cs="Times New Roman"/>
          <w:b/>
          <w:sz w:val="24"/>
          <w:szCs w:val="24"/>
        </w:rPr>
        <w:t>MPP Matematyka</w:t>
      </w:r>
      <w:r w:rsidR="00E22097" w:rsidRPr="00D313CF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152EFB">
        <w:rPr>
          <w:rFonts w:ascii="Times New Roman" w:hAnsi="Times New Roman" w:cs="Times New Roman"/>
          <w:b/>
          <w:sz w:val="24"/>
          <w:szCs w:val="24"/>
        </w:rPr>
        <w:t>Multimedialny pracownia przedmiotowa</w:t>
      </w:r>
    </w:p>
    <w:p w:rsidR="00E22097" w:rsidRPr="00D313CF" w:rsidRDefault="00E22097" w:rsidP="006B1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2EFB" w:rsidRDefault="0099518C" w:rsidP="009951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240018719"/>
      <w:r w:rsidRPr="0099518C">
        <w:rPr>
          <w:rFonts w:ascii="Times New Roman" w:hAnsi="Times New Roman" w:cs="Times New Roman"/>
          <w:sz w:val="24"/>
          <w:szCs w:val="24"/>
        </w:rPr>
        <w:t>Multimedialny</w:t>
      </w:r>
      <w:r w:rsidR="00152EFB">
        <w:rPr>
          <w:rFonts w:ascii="Times New Roman" w:hAnsi="Times New Roman" w:cs="Times New Roman"/>
          <w:sz w:val="24"/>
          <w:szCs w:val="24"/>
        </w:rPr>
        <w:t xml:space="preserve"> pracownia przedmiotowa </w:t>
      </w:r>
      <w:bookmarkEnd w:id="0"/>
      <w:r w:rsidR="00152EFB">
        <w:rPr>
          <w:rFonts w:ascii="Times New Roman" w:hAnsi="Times New Roman" w:cs="Times New Roman"/>
          <w:sz w:val="24"/>
          <w:szCs w:val="24"/>
        </w:rPr>
        <w:t>-</w:t>
      </w:r>
      <w:r w:rsidRPr="0099518C">
        <w:rPr>
          <w:rFonts w:ascii="Times New Roman" w:hAnsi="Times New Roman" w:cs="Times New Roman"/>
          <w:sz w:val="24"/>
          <w:szCs w:val="24"/>
        </w:rPr>
        <w:t xml:space="preserve"> program MPP Matematyka </w:t>
      </w:r>
    </w:p>
    <w:p w:rsidR="0099518C" w:rsidRDefault="0099518C" w:rsidP="009951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bezterminowa licencja dla 3 nauczycieli </w:t>
      </w:r>
    </w:p>
    <w:p w:rsidR="0099518C" w:rsidRPr="0099518C" w:rsidRDefault="0099518C" w:rsidP="009951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518C">
        <w:rPr>
          <w:rFonts w:ascii="Times New Roman" w:hAnsi="Times New Roman" w:cs="Times New Roman"/>
          <w:sz w:val="24"/>
          <w:szCs w:val="24"/>
        </w:rPr>
        <w:t>obejmuje:</w:t>
      </w:r>
    </w:p>
    <w:p w:rsidR="0099518C" w:rsidRPr="0099518C" w:rsidRDefault="0099518C" w:rsidP="009951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518C">
        <w:rPr>
          <w:rFonts w:ascii="Times New Roman" w:hAnsi="Times New Roman" w:cs="Times New Roman"/>
          <w:sz w:val="24"/>
          <w:szCs w:val="24"/>
        </w:rPr>
        <w:t>22 zagadnienia</w:t>
      </w:r>
    </w:p>
    <w:p w:rsidR="0099518C" w:rsidRPr="0099518C" w:rsidRDefault="0099518C" w:rsidP="009951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518C">
        <w:rPr>
          <w:rFonts w:ascii="Times New Roman" w:hAnsi="Times New Roman" w:cs="Times New Roman"/>
          <w:sz w:val="24"/>
          <w:szCs w:val="24"/>
        </w:rPr>
        <w:t>93 lekcje (po 31 lekcji "Powtórz wiedzę", "Czas na test" i "Sprawdź się")</w:t>
      </w:r>
    </w:p>
    <w:p w:rsidR="0099518C" w:rsidRPr="0099518C" w:rsidRDefault="0099518C" w:rsidP="009951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518C">
        <w:rPr>
          <w:rFonts w:ascii="Times New Roman" w:hAnsi="Times New Roman" w:cs="Times New Roman"/>
          <w:sz w:val="24"/>
          <w:szCs w:val="24"/>
        </w:rPr>
        <w:lastRenderedPageBreak/>
        <w:t>1500 ekranów, 1066 zadań, 38 filmów/</w:t>
      </w:r>
      <w:proofErr w:type="spellStart"/>
      <w:r w:rsidRPr="0099518C">
        <w:rPr>
          <w:rFonts w:ascii="Times New Roman" w:hAnsi="Times New Roman" w:cs="Times New Roman"/>
          <w:sz w:val="24"/>
          <w:szCs w:val="24"/>
        </w:rPr>
        <w:t>slideshow</w:t>
      </w:r>
      <w:proofErr w:type="spellEnd"/>
      <w:r w:rsidRPr="0099518C">
        <w:rPr>
          <w:rFonts w:ascii="Times New Roman" w:hAnsi="Times New Roman" w:cs="Times New Roman"/>
          <w:sz w:val="24"/>
          <w:szCs w:val="24"/>
        </w:rPr>
        <w:t>, 111 symulacji, 22 obiekty 3D</w:t>
      </w:r>
    </w:p>
    <w:p w:rsidR="0099518C" w:rsidRPr="0099518C" w:rsidRDefault="0099518C" w:rsidP="009951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518C">
        <w:rPr>
          <w:rFonts w:ascii="Times New Roman" w:hAnsi="Times New Roman" w:cs="Times New Roman"/>
          <w:sz w:val="24"/>
          <w:szCs w:val="24"/>
        </w:rPr>
        <w:t>31 gier dydaktycznych</w:t>
      </w:r>
    </w:p>
    <w:p w:rsidR="0099518C" w:rsidRPr="0099518C" w:rsidRDefault="0099518C" w:rsidP="009951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518C">
        <w:rPr>
          <w:rFonts w:ascii="Times New Roman" w:hAnsi="Times New Roman" w:cs="Times New Roman"/>
          <w:sz w:val="24"/>
          <w:szCs w:val="24"/>
        </w:rPr>
        <w:t>3 plansze interaktywne</w:t>
      </w:r>
    </w:p>
    <w:p w:rsidR="0099518C" w:rsidRDefault="0099518C" w:rsidP="009951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2EFB" w:rsidRPr="00D313CF" w:rsidRDefault="00152EFB" w:rsidP="009951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37DF" w:rsidRPr="00D313CF" w:rsidRDefault="008737DF" w:rsidP="00031EC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13CF">
        <w:rPr>
          <w:rFonts w:ascii="Times New Roman" w:hAnsi="Times New Roman" w:cs="Times New Roman"/>
          <w:b/>
          <w:sz w:val="24"/>
          <w:szCs w:val="24"/>
        </w:rPr>
        <w:t>CYFROWE MATERIAŁY EDUKACYJNE</w:t>
      </w:r>
    </w:p>
    <w:p w:rsidR="008737DF" w:rsidRPr="00D313CF" w:rsidRDefault="008737DF" w:rsidP="006B1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37DF" w:rsidRPr="00D313CF" w:rsidRDefault="008737DF" w:rsidP="008737DF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13CF">
        <w:rPr>
          <w:rFonts w:ascii="Times New Roman" w:hAnsi="Times New Roman" w:cs="Times New Roman"/>
          <w:b/>
          <w:sz w:val="24"/>
          <w:szCs w:val="24"/>
        </w:rPr>
        <w:t xml:space="preserve">Program Ortografia </w:t>
      </w:r>
      <w:proofErr w:type="spellStart"/>
      <w:r w:rsidRPr="00D313CF">
        <w:rPr>
          <w:rFonts w:ascii="Times New Roman" w:hAnsi="Times New Roman" w:cs="Times New Roman"/>
          <w:b/>
          <w:sz w:val="24"/>
          <w:szCs w:val="24"/>
        </w:rPr>
        <w:t>mTalent</w:t>
      </w:r>
      <w:proofErr w:type="spellEnd"/>
      <w:r w:rsidR="00F202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02BF" w:rsidRPr="00F202BF">
        <w:rPr>
          <w:rFonts w:ascii="Times New Roman" w:hAnsi="Times New Roman" w:cs="Times New Roman"/>
          <w:b/>
          <w:sz w:val="24"/>
          <w:szCs w:val="24"/>
        </w:rPr>
        <w:t>– program multimedialny</w:t>
      </w:r>
    </w:p>
    <w:p w:rsidR="008737DF" w:rsidRPr="00D313CF" w:rsidRDefault="008737DF" w:rsidP="006B1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37DF" w:rsidRPr="00D313CF" w:rsidRDefault="008737DF" w:rsidP="00873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313CF">
        <w:rPr>
          <w:rFonts w:ascii="Times New Roman" w:hAnsi="Times New Roman" w:cs="Times New Roman"/>
          <w:sz w:val="24"/>
          <w:szCs w:val="24"/>
        </w:rPr>
        <w:t>mTalent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>. Ortografia składa się z następujących działów:​</w:t>
      </w:r>
    </w:p>
    <w:p w:rsidR="008737DF" w:rsidRPr="00D313CF" w:rsidRDefault="008737DF" w:rsidP="00873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37DF" w:rsidRPr="00D313CF" w:rsidRDefault="008737DF" w:rsidP="00873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Blok U</w:t>
      </w:r>
    </w:p>
    <w:p w:rsidR="008737DF" w:rsidRPr="00D313CF" w:rsidRDefault="008737DF" w:rsidP="00873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Blok Ó</w:t>
      </w:r>
    </w:p>
    <w:p w:rsidR="008737DF" w:rsidRPr="00D313CF" w:rsidRDefault="008737DF" w:rsidP="00873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Blok U-Ó</w:t>
      </w:r>
    </w:p>
    <w:p w:rsidR="008737DF" w:rsidRPr="00D313CF" w:rsidRDefault="008737DF" w:rsidP="00873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Blok RZ</w:t>
      </w:r>
    </w:p>
    <w:p w:rsidR="008737DF" w:rsidRPr="00D313CF" w:rsidRDefault="008737DF" w:rsidP="00873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Blok Ż</w:t>
      </w:r>
    </w:p>
    <w:p w:rsidR="008737DF" w:rsidRPr="00D313CF" w:rsidRDefault="008737DF" w:rsidP="00873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Blok Ż-RZ-SZ</w:t>
      </w:r>
    </w:p>
    <w:p w:rsidR="008737DF" w:rsidRPr="00D313CF" w:rsidRDefault="008737DF" w:rsidP="00873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Blok CH</w:t>
      </w:r>
    </w:p>
    <w:p w:rsidR="008737DF" w:rsidRPr="00D313CF" w:rsidRDefault="008737DF" w:rsidP="00873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Blok H</w:t>
      </w:r>
    </w:p>
    <w:p w:rsidR="008737DF" w:rsidRPr="00D313CF" w:rsidRDefault="008737DF" w:rsidP="00873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Blok CH-H</w:t>
      </w:r>
    </w:p>
    <w:p w:rsidR="008737DF" w:rsidRPr="00D313CF" w:rsidRDefault="008737DF" w:rsidP="008737D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313CF">
        <w:rPr>
          <w:rFonts w:ascii="Times New Roman" w:hAnsi="Times New Roman" w:cs="Times New Roman"/>
          <w:sz w:val="24"/>
          <w:szCs w:val="24"/>
          <w:lang w:val="en-GB"/>
        </w:rPr>
        <w:t>• Blok Ę. EM, Ą, OM, ON, EN</w:t>
      </w:r>
    </w:p>
    <w:p w:rsidR="008737DF" w:rsidRPr="00D313CF" w:rsidRDefault="008737DF" w:rsidP="00873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 xml:space="preserve">• Blok j-i, 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ji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>, ii, i</w:t>
      </w:r>
    </w:p>
    <w:p w:rsidR="008737DF" w:rsidRPr="00D313CF" w:rsidRDefault="008737DF" w:rsidP="00873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Oznaczenie spółgłosek bezdźwięcznych i dźwięcznych</w:t>
      </w:r>
    </w:p>
    <w:p w:rsidR="008737DF" w:rsidRPr="00D313CF" w:rsidRDefault="008737DF" w:rsidP="00873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Blok NIE z różnymi częściami mowy</w:t>
      </w:r>
    </w:p>
    <w:p w:rsidR="008737DF" w:rsidRPr="00D313CF" w:rsidRDefault="008737DF" w:rsidP="00873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Wielka i mała litera</w:t>
      </w:r>
    </w:p>
    <w:p w:rsidR="008737DF" w:rsidRPr="00D313CF" w:rsidRDefault="008737DF" w:rsidP="00873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Jarmark różności: mieszamy trudności</w:t>
      </w:r>
    </w:p>
    <w:p w:rsidR="008737DF" w:rsidRPr="00D313CF" w:rsidRDefault="008737DF" w:rsidP="00873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37DF" w:rsidRPr="00D313CF" w:rsidRDefault="008737DF" w:rsidP="00873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Ważne: Licencja produktu jest na 9 stanowisk: 3 online i 6 offline.</w:t>
      </w:r>
    </w:p>
    <w:p w:rsidR="008737DF" w:rsidRPr="00D313CF" w:rsidRDefault="008737DF" w:rsidP="008737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37DF" w:rsidRPr="00D313CF" w:rsidRDefault="008737DF" w:rsidP="008737DF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313CF">
        <w:rPr>
          <w:rFonts w:ascii="Times New Roman" w:hAnsi="Times New Roman" w:cs="Times New Roman"/>
          <w:b/>
          <w:sz w:val="24"/>
          <w:szCs w:val="24"/>
        </w:rPr>
        <w:t>mTalent</w:t>
      </w:r>
      <w:proofErr w:type="spellEnd"/>
      <w:r w:rsidRPr="00D313CF">
        <w:rPr>
          <w:rFonts w:ascii="Times New Roman" w:hAnsi="Times New Roman" w:cs="Times New Roman"/>
          <w:b/>
          <w:sz w:val="24"/>
          <w:szCs w:val="24"/>
        </w:rPr>
        <w:t xml:space="preserve"> Dysleksja</w:t>
      </w:r>
      <w:r w:rsidR="00F202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02BF" w:rsidRPr="00F202BF">
        <w:rPr>
          <w:rFonts w:ascii="Times New Roman" w:hAnsi="Times New Roman" w:cs="Times New Roman"/>
          <w:b/>
          <w:sz w:val="24"/>
          <w:szCs w:val="24"/>
        </w:rPr>
        <w:t>– program multimedialny</w:t>
      </w:r>
    </w:p>
    <w:p w:rsidR="008737DF" w:rsidRPr="00D313CF" w:rsidRDefault="008737DF" w:rsidP="008737DF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2273" w:rsidRPr="00D313CF" w:rsidRDefault="00031EC8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</w:t>
      </w:r>
      <w:r w:rsidR="00502273" w:rsidRPr="00D313CF">
        <w:rPr>
          <w:rFonts w:ascii="Times New Roman" w:hAnsi="Times New Roman" w:cs="Times New Roman"/>
          <w:sz w:val="24"/>
          <w:szCs w:val="24"/>
        </w:rPr>
        <w:t xml:space="preserve"> program składający się z modułu diagnostycznego, dydaktycznego i terapeutycznego,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2273" w:rsidRPr="00D313CF" w:rsidRDefault="00031EC8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</w:t>
      </w:r>
      <w:r w:rsidR="00502273" w:rsidRPr="00D313CF">
        <w:rPr>
          <w:rFonts w:ascii="Times New Roman" w:hAnsi="Times New Roman" w:cs="Times New Roman"/>
          <w:sz w:val="24"/>
          <w:szCs w:val="24"/>
        </w:rPr>
        <w:t xml:space="preserve"> najnowszy i najobszerniejszy na rynku interaktywny produkt wspomagający specjalistów szkolnych (m.in. terapeutów pedagogicznych, pedagogów specjalnych, logopedów) oraz nauczycieli wszystkich przedmiotów w procesie diagnostycznym i edukacyjno-terapeutycznym w obszarze szeroko pojętego zagadnienia dysleksji,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2273" w:rsidRPr="00D313CF" w:rsidRDefault="00031EC8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</w:t>
      </w:r>
      <w:r w:rsidR="00502273" w:rsidRPr="00D313CF">
        <w:rPr>
          <w:rFonts w:ascii="Times New Roman" w:hAnsi="Times New Roman" w:cs="Times New Roman"/>
          <w:sz w:val="24"/>
          <w:szCs w:val="24"/>
        </w:rPr>
        <w:t xml:space="preserve"> interaktywne zadania rozwijające funkcje percepcyjno-motoryczne, w tym obszerne zestawy autorskich i </w:t>
      </w:r>
      <w:proofErr w:type="spellStart"/>
      <w:r w:rsidR="00502273" w:rsidRPr="00D313CF">
        <w:rPr>
          <w:rFonts w:ascii="Times New Roman" w:hAnsi="Times New Roman" w:cs="Times New Roman"/>
          <w:sz w:val="24"/>
          <w:szCs w:val="24"/>
        </w:rPr>
        <w:t>zwalidowanych</w:t>
      </w:r>
      <w:proofErr w:type="spellEnd"/>
      <w:r w:rsidR="00502273" w:rsidRPr="00D313CF">
        <w:rPr>
          <w:rFonts w:ascii="Times New Roman" w:hAnsi="Times New Roman" w:cs="Times New Roman"/>
          <w:sz w:val="24"/>
          <w:szCs w:val="24"/>
        </w:rPr>
        <w:t xml:space="preserve"> arkuszy rozpoznania ryzyka lub symptomów specyficznych trudności w uczeniu się, a także szkolną diagnozę pedagogiczną,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2273" w:rsidRPr="00D313CF" w:rsidRDefault="00031EC8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</w:t>
      </w:r>
      <w:r w:rsidR="00502273" w:rsidRPr="00D313CF">
        <w:rPr>
          <w:rFonts w:ascii="Times New Roman" w:hAnsi="Times New Roman" w:cs="Times New Roman"/>
          <w:sz w:val="24"/>
          <w:szCs w:val="24"/>
        </w:rPr>
        <w:t xml:space="preserve"> kompleksowe wsparcie w związku z szeroko pojętymi trudnościami w nauce,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2273" w:rsidRPr="00D313CF" w:rsidRDefault="00031EC8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</w:t>
      </w:r>
      <w:r w:rsidR="00502273" w:rsidRPr="00D313CF">
        <w:rPr>
          <w:rFonts w:ascii="Times New Roman" w:hAnsi="Times New Roman" w:cs="Times New Roman"/>
          <w:sz w:val="24"/>
          <w:szCs w:val="24"/>
        </w:rPr>
        <w:t xml:space="preserve"> wzorcowy i kompleksowy plan udzielania pomocy psychologiczno-pedagogicznej w szkole wraz z możliwością utworzenia indywidualnej dokumentacji (z możliwością wydruku) pracy z uczniem z dysleksją, dysortografią i dysgrafią,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2273" w:rsidRPr="00D313CF" w:rsidRDefault="00031EC8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</w:t>
      </w:r>
      <w:r w:rsidR="00502273" w:rsidRPr="00D313CF">
        <w:rPr>
          <w:rFonts w:ascii="Times New Roman" w:hAnsi="Times New Roman" w:cs="Times New Roman"/>
          <w:sz w:val="24"/>
          <w:szCs w:val="24"/>
        </w:rPr>
        <w:t xml:space="preserve"> obszerne zestawy ćwiczeń terapeutycznych przygotowanych dla odbiorców z różnych grup wiekowych,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2273" w:rsidRPr="00D313CF" w:rsidRDefault="00031EC8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="00502273" w:rsidRPr="00D313CF">
        <w:rPr>
          <w:rFonts w:ascii="Times New Roman" w:hAnsi="Times New Roman" w:cs="Times New Roman"/>
          <w:sz w:val="24"/>
          <w:szCs w:val="24"/>
        </w:rPr>
        <w:t xml:space="preserve"> produkt stworzony w oparciu o wiedzę i praktykę prezentowaną przez ekspertów z Polskiego Towarzystwa Dysleksji,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2273" w:rsidRPr="00D313CF" w:rsidRDefault="00031EC8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</w:t>
      </w:r>
      <w:r w:rsidR="00502273" w:rsidRPr="00D313CF">
        <w:rPr>
          <w:rFonts w:ascii="Times New Roman" w:hAnsi="Times New Roman" w:cs="Times New Roman"/>
          <w:sz w:val="24"/>
          <w:szCs w:val="24"/>
        </w:rPr>
        <w:t xml:space="preserve"> propozycja uzupełniona o zestaw dodatkowych materiałów (np. pomocnik diagnostyczny, drukowalne karty pracy, poradnik metodyczny, wskazówki dla rodziców itp.),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2273" w:rsidRPr="00D313CF" w:rsidRDefault="00031EC8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</w:t>
      </w:r>
      <w:r w:rsidR="00502273" w:rsidRPr="00D313CF">
        <w:rPr>
          <w:rFonts w:ascii="Times New Roman" w:hAnsi="Times New Roman" w:cs="Times New Roman"/>
          <w:sz w:val="24"/>
          <w:szCs w:val="24"/>
        </w:rPr>
        <w:t xml:space="preserve"> jedyne na polskim rynku oprogramowanie tego typu działające na większości dostępnych urządzeń, z programami </w:t>
      </w:r>
      <w:proofErr w:type="spellStart"/>
      <w:r w:rsidR="00502273" w:rsidRPr="00D313CF">
        <w:rPr>
          <w:rFonts w:ascii="Times New Roman" w:hAnsi="Times New Roman" w:cs="Times New Roman"/>
          <w:sz w:val="24"/>
          <w:szCs w:val="24"/>
        </w:rPr>
        <w:t>mTalent</w:t>
      </w:r>
      <w:proofErr w:type="spellEnd"/>
      <w:r w:rsidR="00502273" w:rsidRPr="00D313CF">
        <w:rPr>
          <w:rFonts w:ascii="Times New Roman" w:hAnsi="Times New Roman" w:cs="Times New Roman"/>
          <w:sz w:val="24"/>
          <w:szCs w:val="24"/>
        </w:rPr>
        <w:t xml:space="preserve"> można pracować na monitorze lub tablicy interaktywnej, komputerze, laptopie, tablecie lub innym urządzeniu multimedialnym.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1746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 xml:space="preserve">Program dostępny jest na zasadzie bezterminowej i wielostanowiskowej licencji: 4 stanowiska (2 online + 2 offline). Bezpłatne szkolenie zakończone wystawieniem certyfikatu. Dostęp do centrum wsparcia technicznego i szkoleniowego 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mTalent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>. Bezpłatne aktualizacje programu.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2273" w:rsidRPr="00D313CF" w:rsidRDefault="00502273" w:rsidP="00502273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313CF">
        <w:rPr>
          <w:rFonts w:ascii="Times New Roman" w:hAnsi="Times New Roman" w:cs="Times New Roman"/>
          <w:b/>
          <w:sz w:val="24"/>
          <w:szCs w:val="24"/>
        </w:rPr>
        <w:t>mTalent</w:t>
      </w:r>
      <w:proofErr w:type="spellEnd"/>
      <w:r w:rsidRPr="00D313CF">
        <w:rPr>
          <w:rFonts w:ascii="Times New Roman" w:hAnsi="Times New Roman" w:cs="Times New Roman"/>
          <w:b/>
          <w:sz w:val="24"/>
          <w:szCs w:val="24"/>
        </w:rPr>
        <w:t xml:space="preserve"> Trening umiejętności społecznych (TUS) – program multimedialny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Program zbudowany wokół dziewięciu obszarów niezbędnych do zaplanowania kompleksowych spotkań w ramach TUS: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1. Komunikacja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2. Emocje i myśli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3. Podstawowe zachowania społeczne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4. Empatia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5. Samopoznanie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6. Uważność społeczna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7. Współpraca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8. Poszanowanie granic i akceptacja potrzeb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9. Rozwiązywanie problemów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Zestaw interaktywnych ćwiczeń, kart pracy i inspiracji do pracy z dziećmi wymagającymi wsparcia umiejętności społecznych i życiowych.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Pakiet treningowo-sensoryczny wspomagający integrację grupy, pomagający uczniom z indywidualnymi potrzebami w zakresie integracji sensorycznej oraz ułatwiający samoregulację.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Pakiet kart pracy, poradnik metodyczny oraz dwie autorskie książki dla trenerów i nauczycieli: Setka wy-li-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cza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nek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 xml:space="preserve"> nowych do zabaw grupowych i Księga berków i przerywników.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Autorskie pomoce do prowadzenia zajęć TUS (np. zestawy kart do zadań grupowych, podłogowa gra planszowa, oryginalna kostka z wymiennymi oknami, klepsydra, poradnik metodyczny i inne).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Idealne narzędzie do pracy z dziećmi i uczniami z zaburzeniami lub deficytami zachowania, trudnościami w nawiązywaniu relacji społecznych, nieśmiałością, wycofaniem, a także z dziećmi z dysharmoniami rozwojowymi.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Materiały dostosowane do dwóch grup wiekowych: 4-6 lat oraz 7-9 lat.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lastRenderedPageBreak/>
        <w:t>• Jedyne na polskim rynku oprogramowanie do stymulacji i terapii w omawianych obszarach, którego w całości działa na większości dostępnych na rynku urządzeń.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Dodatkowe informacje: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licencja bezterminowa na 9 stanowisk (3 online i 6 offline),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 xml:space="preserve">• dostęp do centrum wsparcia technicznego i szkoleniowego 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mTalent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>,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>• bezpłatne aktualizacje programu.</w:t>
      </w:r>
    </w:p>
    <w:p w:rsidR="00502273" w:rsidRPr="00D313CF" w:rsidRDefault="00502273" w:rsidP="005022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3BA8" w:rsidRPr="00D313CF" w:rsidRDefault="00502273" w:rsidP="00031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13CF">
        <w:rPr>
          <w:rFonts w:ascii="Times New Roman" w:hAnsi="Times New Roman" w:cs="Times New Roman"/>
          <w:sz w:val="24"/>
          <w:szCs w:val="24"/>
        </w:rPr>
        <w:t xml:space="preserve">Program zawiera dwa kody licencyjne: jeden odblokowuje program, a drugi umożliwia dostęp do szkolenia online z obsługi programu i pracy na platformie </w:t>
      </w:r>
      <w:proofErr w:type="spellStart"/>
      <w:r w:rsidRPr="00D313CF">
        <w:rPr>
          <w:rFonts w:ascii="Times New Roman" w:hAnsi="Times New Roman" w:cs="Times New Roman"/>
          <w:sz w:val="24"/>
          <w:szCs w:val="24"/>
        </w:rPr>
        <w:t>mTalent</w:t>
      </w:r>
      <w:proofErr w:type="spellEnd"/>
      <w:r w:rsidRPr="00D313CF">
        <w:rPr>
          <w:rFonts w:ascii="Times New Roman" w:hAnsi="Times New Roman" w:cs="Times New Roman"/>
          <w:sz w:val="24"/>
          <w:szCs w:val="24"/>
        </w:rPr>
        <w:t>. Szkolenie można odbyć w dowolnym czasie, a po jego zakończeniu istnieje możliwość uzyskania imiennego Certyfikatu. Szkolenie dotyczy wyłącznie obsługi programu, nie obejmuje metod terapii. Dodatkowo dostępne są bezpłatne wykłady ekspertów i samouczki: centrumszkolen.mtalent.pl</w:t>
      </w:r>
    </w:p>
    <w:sectPr w:rsidR="00E73BA8" w:rsidRPr="00D313CF" w:rsidSect="00152EFB">
      <w:footerReference w:type="default" r:id="rId8"/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70A5" w:rsidRDefault="003E70A5" w:rsidP="00D313CF">
      <w:pPr>
        <w:spacing w:after="0" w:line="240" w:lineRule="auto"/>
      </w:pPr>
      <w:r>
        <w:separator/>
      </w:r>
    </w:p>
  </w:endnote>
  <w:endnote w:type="continuationSeparator" w:id="0">
    <w:p w:rsidR="003E70A5" w:rsidRDefault="003E70A5" w:rsidP="00D31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1047357"/>
      <w:docPartObj>
        <w:docPartGallery w:val="Page Numbers (Bottom of Page)"/>
        <w:docPartUnique/>
      </w:docPartObj>
    </w:sdtPr>
    <w:sdtEndPr/>
    <w:sdtContent>
      <w:p w:rsidR="00D313CF" w:rsidRDefault="00D313C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D313CF" w:rsidRDefault="00D313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70A5" w:rsidRDefault="003E70A5" w:rsidP="00D313CF">
      <w:pPr>
        <w:spacing w:after="0" w:line="240" w:lineRule="auto"/>
      </w:pPr>
      <w:r>
        <w:separator/>
      </w:r>
    </w:p>
  </w:footnote>
  <w:footnote w:type="continuationSeparator" w:id="0">
    <w:p w:rsidR="003E70A5" w:rsidRDefault="003E70A5" w:rsidP="00D313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3C4B3F"/>
    <w:multiLevelType w:val="hybridMultilevel"/>
    <w:tmpl w:val="0576BF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314F96"/>
    <w:multiLevelType w:val="hybridMultilevel"/>
    <w:tmpl w:val="5B4496BE"/>
    <w:lvl w:ilvl="0" w:tplc="AE2EB7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86A"/>
    <w:rsid w:val="00031EC8"/>
    <w:rsid w:val="00152EFB"/>
    <w:rsid w:val="00254659"/>
    <w:rsid w:val="002F6451"/>
    <w:rsid w:val="003E70A5"/>
    <w:rsid w:val="004952AE"/>
    <w:rsid w:val="00502273"/>
    <w:rsid w:val="00590107"/>
    <w:rsid w:val="006B1746"/>
    <w:rsid w:val="007E2821"/>
    <w:rsid w:val="008737DF"/>
    <w:rsid w:val="0099518C"/>
    <w:rsid w:val="00A12B0E"/>
    <w:rsid w:val="00A658CE"/>
    <w:rsid w:val="00D313CF"/>
    <w:rsid w:val="00E169A0"/>
    <w:rsid w:val="00E22097"/>
    <w:rsid w:val="00E73BA8"/>
    <w:rsid w:val="00EB386A"/>
    <w:rsid w:val="00EB4BAF"/>
    <w:rsid w:val="00F20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2CCFF"/>
  <w15:chartTrackingRefBased/>
  <w15:docId w15:val="{3EDE8AD5-54ED-4C72-ADD6-99ED2D806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37D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31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13CF"/>
  </w:style>
  <w:style w:type="paragraph" w:styleId="Stopka">
    <w:name w:val="footer"/>
    <w:basedOn w:val="Normalny"/>
    <w:link w:val="StopkaZnak"/>
    <w:uiPriority w:val="99"/>
    <w:unhideWhenUsed/>
    <w:rsid w:val="00D31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13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42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75232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4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ED55B-7014-45F0-8EA1-A80CE8025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6</Pages>
  <Words>1557</Words>
  <Characters>9344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</dc:creator>
  <cp:keywords/>
  <dc:description/>
  <cp:lastModifiedBy>Angelika</cp:lastModifiedBy>
  <cp:revision>7</cp:revision>
  <dcterms:created xsi:type="dcterms:W3CDTF">2026-09-08T07:45:00Z</dcterms:created>
  <dcterms:modified xsi:type="dcterms:W3CDTF">2026-09-11T11:07:00Z</dcterms:modified>
</cp:coreProperties>
</file>