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</w:t>
      </w:r>
      <w:r>
        <w:rPr>
          <w:rStyle w:val="Domylnaczcionkaakapitu"/>
          <w:b/>
          <w:bCs/>
          <w:sz w:val="28"/>
          <w:szCs w:val="28"/>
        </w:rPr>
        <w:t xml:space="preserve">              </w:t>
      </w:r>
      <w:r>
        <w:rPr>
          <w:rStyle w:val="Domylnaczcionkaakapitu"/>
          <w:b/>
          <w:bCs/>
          <w:sz w:val="28"/>
          <w:szCs w:val="28"/>
        </w:rPr>
        <w:t>Plan  zamówień publicznych na rok 2024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10075" w:type="dxa"/>
        <w:jc w:val="left"/>
        <w:tblInd w:w="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5"/>
        <w:gridCol w:w="2778"/>
        <w:gridCol w:w="45"/>
        <w:gridCol w:w="1402"/>
        <w:gridCol w:w="1483"/>
        <w:gridCol w:w="1620"/>
        <w:gridCol w:w="1410"/>
        <w:gridCol w:w="872"/>
      </w:tblGrid>
      <w:tr>
        <w:trPr/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Lp</w:t>
            </w:r>
          </w:p>
        </w:tc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Nazwa zamówienia</w:t>
            </w:r>
          </w:p>
        </w:tc>
        <w:tc>
          <w:tcPr>
            <w:tcW w:w="1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Rodzaj zamówienia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>
                <w:rStyle w:val="Domylnaczcionkaakapitu"/>
                <w:b/>
                <w:bCs/>
              </w:rPr>
              <w:t>Orientacyjna wartość zamówienia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Tryb</w:t>
            </w:r>
          </w:p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zamówienia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Termin zamówienia</w:t>
            </w:r>
          </w:p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liczony w kwartałach</w:t>
            </w:r>
          </w:p>
        </w:tc>
        <w:tc>
          <w:tcPr>
            <w:tcW w:w="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>
                <w:b/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</w:tc>
      </w:tr>
      <w:tr>
        <w:trPr>
          <w:trHeight w:val="989" w:hRule="atLeast"/>
        </w:trPr>
        <w:tc>
          <w:tcPr>
            <w:tcW w:w="465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1.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3 sztuk ambulansów </w:t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Dostawa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 xml:space="preserve">1950000 zł 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Przetarg 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I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401" w:hRule="atLeast"/>
        </w:trPr>
        <w:tc>
          <w:tcPr>
            <w:tcW w:w="46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2.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odczynników do pracowni serologii i mikrobiologii 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 </w:t>
            </w:r>
            <w:r>
              <w:rPr/>
              <w:t>1500000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 kw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95" w:hRule="atLeast"/>
        </w:trPr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3.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sprzętu medycznego  do pracowni elektrofizjologii 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</w:t>
            </w:r>
          </w:p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200000 zł</w:t>
            </w:r>
          </w:p>
          <w:p>
            <w:pPr>
              <w:pStyle w:val="Zawartotabeli"/>
              <w:rPr/>
            </w:pPr>
            <w:r>
              <w:rPr/>
              <w:t xml:space="preserve"> 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  <w:t>I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989" w:hRule="atLeast"/>
        </w:trPr>
        <w:tc>
          <w:tcPr>
            <w:tcW w:w="465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4.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Dostawa odczynników i mebli laboratoryjnych, dzierżawa analizatorów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Dostawa</w:t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7200000 zł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Przetarg 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I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401" w:hRule="atLeast"/>
        </w:trPr>
        <w:tc>
          <w:tcPr>
            <w:tcW w:w="46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5.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Przeglądy , serwisowanie i naprawy sprzętu  medycznego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Usługa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900000 zł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 kw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6.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Usługa odbioru i unieszkodliwienia odpadów medycznych.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Usługa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600000 zł 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II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7.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 leków, płynów infuzyjnych ,  środków dezynfekcyjnych, materiałów szewnych i opatrunkowych, stentów kardiologicznych, i cewników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</w:t>
            </w:r>
          </w:p>
          <w:p>
            <w:pPr>
              <w:pStyle w:val="Zawartotabeli"/>
              <w:rPr/>
            </w:pPr>
            <w:r>
              <w:rPr/>
              <w:t xml:space="preserve"> 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7000000  zł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II kw.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8.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sprzętu medycznego do pracowni hemodynamiki  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Dostawa 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 xml:space="preserve">1700000 zł 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II kw.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1461" w:hRule="atLeast"/>
        </w:trPr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9.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Usługa badań histologicznych 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Usługa </w:t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600000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II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25" w:hRule="atLeast"/>
        </w:trPr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10.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Dostawa energii elektrycznej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950 000 zł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III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11.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 paliw napędowych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750000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III kw.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12.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 artykułów spożywczych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952000 zł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IV kw</w:t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13.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Usługa nadzoru autorskiego, serwisowania i wsparcia technicznego szpitalnego systemu informatycznego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Usługa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570 000 zł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Zamówienie z wolnej ręki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IV kw</w:t>
            </w:r>
          </w:p>
        </w:tc>
        <w:tc>
          <w:tcPr>
            <w:tcW w:w="8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465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  <w:t>14.</w:t>
            </w:r>
          </w:p>
        </w:tc>
        <w:tc>
          <w:tcPr>
            <w:tcW w:w="2778" w:type="dxa"/>
            <w:tcBorders>
              <w:left w:val="single" w:sz="4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Dostawa sprzętu jednorazowego medycyny ogólnej oraz worków foliowych, materiałów biurowych, środków czystości , tuszy i tonerów</w:t>
            </w:r>
          </w:p>
        </w:tc>
        <w:tc>
          <w:tcPr>
            <w:tcW w:w="144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  <w:t>Dostawa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 xml:space="preserve"> </w:t>
            </w:r>
          </w:p>
          <w:p>
            <w:pPr>
              <w:pStyle w:val="Zawartotabeli"/>
              <w:rPr/>
            </w:pPr>
            <w:r>
              <w:rPr/>
              <w:t>3000 000 zł</w:t>
            </w:r>
          </w:p>
        </w:tc>
        <w:tc>
          <w:tcPr>
            <w:tcW w:w="1620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  <w:t>Przetarg unijny</w:t>
            </w:r>
          </w:p>
          <w:p>
            <w:pPr>
              <w:pStyle w:val="Zawartotabeli"/>
              <w:rPr/>
            </w:pPr>
            <w:r>
              <w:rPr/>
              <w:t>Art. 132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  <w:t>IV kw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614" w:hRule="atLeast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  <w:t>15.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  <w:t>Dostawa produktów mięsnych i mleczarskich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  <w:t>Dostawa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  <w:t xml:space="preserve">950000 zł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  <w:t>Przetarg krajowy na podst. art.275 pkt.2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  <w:t>IV kw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gwek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ucida Sans Unicode" w:cs="Mang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Lucida Sans Unicode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Nagwek1">
    <w:name w:val="Heading 1"/>
    <w:basedOn w:val="Nagwek"/>
    <w:next w:val="Tretekstu"/>
    <w:qFormat/>
    <w:pPr>
      <w:numPr>
        <w:ilvl w:val="0"/>
        <w:numId w:val="1"/>
      </w:numPr>
      <w:suppressAutoHyphens w:val="true"/>
      <w:outlineLvl w:val="0"/>
    </w:pPr>
    <w:rPr>
      <w:b/>
      <w:bCs/>
    </w:rPr>
  </w:style>
  <w:style w:type="paragraph" w:styleId="Nagwek2">
    <w:name w:val="Heading 2"/>
    <w:basedOn w:val="Nagwek"/>
    <w:next w:val="Tretekstu"/>
    <w:qFormat/>
    <w:pPr>
      <w:numPr>
        <w:ilvl w:val="1"/>
        <w:numId w:val="1"/>
      </w:numPr>
      <w:suppressAutoHyphens w:val="true"/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retekstu"/>
    <w:qFormat/>
    <w:pPr>
      <w:numPr>
        <w:ilvl w:val="2"/>
        <w:numId w:val="1"/>
      </w:numPr>
      <w:suppressAutoHyphens w:val="true"/>
      <w:spacing w:before="140" w:after="0"/>
      <w:outlineLvl w:val="2"/>
    </w:pPr>
    <w:rPr>
      <w:b/>
      <w:bCs/>
    </w:rPr>
  </w:style>
  <w:style w:type="character" w:styleId="Domylnaczcionkaakapitu">
    <w:name w:val="Domyślna czcionka akapitu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Lucida Sans Unicode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/>
      <w:sz w:val="28"/>
      <w:szCs w:val="28"/>
    </w:rPr>
  </w:style>
  <w:style w:type="paragraph" w:styleId="Tretekstu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Podpis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Cytaty">
    <w:name w:val="Cytaty"/>
    <w:basedOn w:val="Normal"/>
    <w:qFormat/>
    <w:pPr>
      <w:tabs>
        <w:tab w:val="clear" w:pos="709"/>
      </w:tabs>
      <w:suppressAutoHyphens w:val="true"/>
      <w:spacing w:before="0" w:after="283"/>
      <w:ind w:left="567" w:right="567" w:hanging="0"/>
    </w:pPr>
    <w:rPr/>
  </w:style>
  <w:style w:type="paragraph" w:styleId="Tytu">
    <w:name w:val="Title"/>
    <w:basedOn w:val="Nagwek"/>
    <w:next w:val="Tretekstu"/>
    <w:qFormat/>
    <w:pPr>
      <w:suppressAutoHyphens w:val="true"/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retekstu"/>
    <w:qFormat/>
    <w:pPr>
      <w:suppressAutoHyphens w:val="true"/>
      <w:spacing w:before="60" w:after="0"/>
      <w:jc w:val="center"/>
    </w:pPr>
    <w:rPr>
      <w:sz w:val="36"/>
      <w:szCs w:val="36"/>
    </w:rPr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501</TotalTime>
  <Application>LibreOffice/7.2.5.2$Windows_X86_64 LibreOffice_project/499f9727c189e6ef3471021d6132d4c694f357e5</Application>
  <AppVersion>15.0000</AppVersion>
  <Pages>2</Pages>
  <Words>299</Words>
  <Characters>1794</Characters>
  <CharactersWithSpaces>2089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2019-01-28T09:32:00Z</dcterms:created>
  <dc:creator>USER</dc:creator>
  <dc:description/>
  <dc:language>pl-PL</dc:language>
  <cp:lastModifiedBy>USER</cp:lastModifiedBy>
  <cp:lastPrinted>2024-01-09T10:36:00Z</cp:lastPrinted>
  <dcterms:modified xsi:type="dcterms:W3CDTF">2024-01-09T11:00:00Z</dcterms:modified>
  <cp:revision>52</cp:revision>
  <dc:subject/>
  <dc:title/>
</cp:coreProperties>
</file>