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4 </w:t>
      </w:r>
    </w:p>
    <w:p>
      <w:pPr>
        <w:pStyle w:val="Normalny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Szczegółowy opis przedmiotu zamówienia</w:t>
      </w:r>
    </w:p>
    <w:p>
      <w:pPr>
        <w:pStyle w:val="Normalny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Zad. Nr 1 – Dostawa aparatu EKG – 2szt,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Parametry techniczne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12 kanałowy - 12 odprowadzeniowy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klawiatura alfanumeryczna oraz funkcyjna zabezpieczona przed zalaniem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kolorowy wyświetlacz graficzny LCD TFT - 8” o wysokiej rozdzielczości 800 x 480 (24 bity) z podświetleniem LED, wbudowany pod kątem ułatwiający obserwację; ekran dotykowy (opcja),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prezentacja na ekranie przebiegów z 12 odprowadzeń krzywej EKG, wartości parametrów i menu w języku polskim.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prezentacja krzywej ekg, parametrów i menu na ekranie,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ciągły pomiar częstości akcji serca (HR) z prezentacją na ekranie,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sygnał 12 odprowadzeń standardowych oraz Cabrera,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czułość: 2,5/5/10/20 (mm/mV) oraz (L/C): 10/5, 20/10 (mm/mV); AUTO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prędkość zapisu: 5/12,5/25/50 mm/s, dokładność 5%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zapis z rozdzielczością: 8 pkt./mm (pion), 40 pkt./mm (poziom) przy prędkości zapisu 25 mm/s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praca w trybach: Auto, Manual, Pomiaru rytmu serca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automatyczna analiza i interpretacja krzywych EKG (dorośli, dzieci, noworodki) w języku polskim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wydruk na papierze A4 (szer.) 210 mm x (wys.) 297 mm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głowica drukująca z automatyczną regulacją linii izotermicznej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obszerna baza pacjentów i badań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przegląd badań w formacie w pliku PDF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dźwiękowa i graficzna sygnalizacja braku kontaktu elektrod i odłączenia przewodu ekg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impedancja wejściowa &gt; 50 [MΩ], CMRR &gt;110 dB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częstotliwość próbkowania 1000 [Hz] / kanał.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detekcja stymulatora serca częstotliwością próbkowania pików 16000 [Hz]/kanał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dźwiękowa sygnalizacja wykrytych pobudzeń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cyfrowa filtracja zakłóceń sieciowych i zakłóceń pochodzenia mięśniowego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cyfrowy filtr pływania izolinii (anty-dryftowy)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interfejs komunikacyjny przez porty USB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wewnętrzna pamięć 800 badań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zapis badania (do wyboru w formatach: PDF, XML, MR Mindray) do pamięci USB (np. PenDrive)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przesłania raportu bezpośrednio na serwer FTP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sygnalizacja stanu naładowania akumulatora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ochrona przed impulsem defibrylacji - CF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formaty wydruku:3*4 ; 3*4+1R ; 3*4+3R ; 6*2 ; 6*2+1R ; 12*1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wydruk w trybie monitorowania rytmu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przeglądanie i oceny badania przed wydrukiem z możliwością zmiany kategorii wiekowej pacjenta i płci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ponowną analiza badania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konfiguracja danych pacjenta: imię, nazwisko, wiek, płeć, podawane leki, rasa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przeglądanie i wydruk badania z archiwum urządzenia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wydruku badania na drukarce laserowej podłączonej bezpośrednio do aparatu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współpracy urządzenia w sieci komputerowej HL7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funkcja uśpienia (standby) umożliwiająca szybki start aparatu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czas ładowania akumulatorów do 100% pojemności do 7 godz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wbudowane zasilanie akumulatorowe z czasem pracy min. 3,5 godz. ciągłego monitorowania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 min. 1 godz. rejestracji lub minimum 400 raportów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możliwość rozbudowy o czytnik kodów paskowych (opcja) lub komunikację WiFi (opcja)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zasilanie sieciowe (100-240 V /50 Hz) i akumulatorowe (litowo-jonowe)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wymiary (D x S x W): 260x194x56 mm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waga aparatu z wbudowanym akumulatorem i wbudowanym zasilaczem – 4,9 kg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menu w jęz. polskim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wyposażenie aparatu: przewód pacjenta, elektrody przyssawkowe oraz klipsowe, papier termiczny -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 lub 150 stron; możliwość wyposażenia w: pasy piersiowe (dla dorosłych i dzieci), elektrody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blaszkowe, elektrody wielorazowe (dzieci, noworodki), adaptery do elektrod jednorazowych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wyposażenie opcjonalne: mobilny wózek aparaturowy na 5 kółkach (każde wyposażone w blokadę) z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koszem oraz wysięgnikiem na przewód pacjenta, dodatkowo blokada aparatu (blokada z mechanizmem</w:t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zwalniającym – bez użycia dodatkowych narzędzi)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Zad. Nr 2 - Dostawa spirometrów – 2szt.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Przenośny, prosty w użyciu aparat spirometryczny.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Kolorowy wyświetlacz graficzny LCD TFT z panelem dotykowym i podświetlaniem LED.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Pełna klawiatura alfanumeryczna i funkcyjna.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Wbudowana liniowa drukarka termiczna 112mm z systemem ładowania papieru EASY - LOAD.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Wbudowany akumulator LI - ION.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Łatwa w obsłudze baza pacjentów z pamięcią 1000 badań.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przeglądu badań z bazy na ekranie aparatu (tabela i wykresy).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Badania i mierzone parametry: pojemności życiowej: VC, IC, ERV, TV, MV, FR; natężonej pojemności życiowej wdechowej i wydechowej: FVC, FEV1, FEV6, FEV1%VC, PEF, MEF25, MEF50, MEF75, MMEF, PIF, FET, tPEF, VExt, FIVC, FIVC1, MIF50; maksymalnej wentylacji dowolnej: MVV, BF.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Badania porównawcze PRE/POST po podaniu lekarstw.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wykonania badań połączonych VC + FVC.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Prezentacja krzywych na ekranie on - line (w czasie rzeczywistym).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Wbudowany czujnik: temperatury, ciśnienia, wilgotności do korekcji BTPS.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Automatyczna korekcja BTPS.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Automatyczny wybór najlepszej krzywej z możliwością zmian ręcznych.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Automatyczna ocena powtarzalności badania wg skali A - E dla FVC i FEV1.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Graficzna sygnalizacja czasu natężonego wydechu.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Akustyczna i graficzna sygnalizacja uzyskania wypłaszczenia krzywej.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Wartości wzorcowe (normatywne) wg ECCS/ERS.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Obliczanie wartości liczby odchyleń standardowych (SR) i percentyli.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Natychmiastowa gotowość do pracy po wymianie głowicy.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Zad. Nr 3 – Dostawa Holtera EKG – 1szt.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zapisu EKG w trybie prospektywnym i retrospektywnym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arytmii pochodzenia komorowego i nadkomorowego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Natychmiastowy dostęp do zapisu EKG z dowolnego poziomu analizy (tabele, trendy)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wykrywania, przeglądania, tworzenia ilościowych raportów w zakresie oceny: VE, S`SVE, P`SVT, Pauz, IRR VT, IVR, Tachy, Brady, Salwa, Bigeminia, Trigeminia, Pary, R na T, uniesienia i obniżenia ST. Epizody ST, Max, Min, oraz Średni Rytm Serca, procentowy udział artefaktów w zapisie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Edytor klasy umożliwiający łatwą edycję wszystkich pobudzeń komorowych i nadkomorowych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Tabelaryczna prezentacja danych liczbowych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Prezentacja wyników w formie trendów w tym trójwymiarowe trendy ST i HRV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do druku automatycznie lub wybierane przez użytkownika wstęgi EKG wraz z ich etykietami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Drukowanie całego zarejestrowanego sygnału EKG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Niezależna analiza ST każdego kanału EKG dla wybranych przez użytkownika punktów odniesienia ST, punktu J oraz linii bazowej R-R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 wielobarwnych prezentacji na ekranie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Bezprzewodowa transmisja danych umożliwiająca podgląd zapisu EKG w czasie rzeczywistym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zmienności rytmu w dziedzinie czasu i częstotliwości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Analizy odstępu QT z prezentacją wyników w formie tabelarycznej graficznej</w:t>
      </w:r>
    </w:p>
    <w:p>
      <w:pPr>
        <w:pStyle w:val="Akapitzlist"/>
        <w:numPr>
          <w:ilvl w:val="0"/>
          <w:numId w:val="3"/>
        </w:numPr>
        <w:spacing w:before="0" w:after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pracy wszystkich typów rozruszników serca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Zad. Nr 4 – Dostawa aparatu USG – 1szt.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15’’ monitor z funkcją pochylenia do 60 stopni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Dwa uniwersalne porty głowic w standardowym wyposażeniu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Dwupoziomowa, podświetlana klawiatura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Tryby skanowania: B, Color Doppler, Power Doppler, PWD, M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Tryby wyświetlania obrazu: B, 2B, 4B, B/C, B/M, B/PW, Triplex PW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Oprogramowanie do badań: jamy brzusznej, ginekologii i położnictwa, kardiologii, małych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narządów, urologii, ortopedii, neurologii,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Pracuje z głowicami: Convex, linia, micro-convex, endokawitarna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Wysokiej częstotliwości głowica liniowa do skanowania powierzchniowego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Zestaw pakietów pomiarowych i kalkulacyjnych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dedykowany wózek pod aparat z uchwytami na głowice, półką na videoprinter oraz półką na inne akcesoria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głowica convex szerokopasmowa: wieloczęstotliwościowa o paśmie podstawowym 1,8 – 6 MHz. Przeznaczona do diagnostyki:</w:t>
      </w:r>
    </w:p>
    <w:p>
      <w:pPr>
        <w:pStyle w:val="Normal"/>
        <w:numPr>
          <w:ilvl w:val="1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narządów jamy brzusznej</w:t>
      </w:r>
    </w:p>
    <w:p>
      <w:pPr>
        <w:pStyle w:val="Normal"/>
        <w:numPr>
          <w:ilvl w:val="1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ginekologiczno-położniczej</w:t>
      </w:r>
    </w:p>
    <w:p>
      <w:pPr>
        <w:pStyle w:val="Normal"/>
        <w:numPr>
          <w:ilvl w:val="1"/>
          <w:numId w:val="4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narządów miednicy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głowica liniowa szerokopasmowa, wieloczęstotliwościowa o paśmie podstawowym 3,4 – 12,9 MHz. Przeznaczona do diagnostyki: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małych i powierzchownie położonych narządów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naczyniowej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ortopedycznej</w:t>
      </w:r>
    </w:p>
    <w:p>
      <w:pPr>
        <w:pStyle w:val="Normal"/>
        <w:numPr>
          <w:ilvl w:val="1"/>
          <w:numId w:val="7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mięśniowo - szkieletowej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>Zad. Nr 5 – Dostawa skanera do pobierania krwi – 1szt.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Odległość projekcji: 29 cm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31 cm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różne kolory projekcji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odwrócenia kolorów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Typ światła: bliska podczerwień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Projekcja światła: 300lux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1000lux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Aktywne promieniowanie - światło o długości fali: 750 nm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980 nm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Zasilanie: polimerowa bateria litowo-jonowa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Napięcie: d.c. 3,0 V </w:t>
      </w:r>
      <w:r>
        <w:rPr>
          <w:rFonts w:ascii="Times New Roman" w:hAnsi="Times New Roman" w:cs="Times New Roman"/>
          <w:sz w:val="24"/>
          <w:szCs w:val="24"/>
        </w:rPr>
        <w:t xml:space="preserve">～ </w:t>
      </w:r>
      <w:r>
        <w:rPr>
          <w:rFonts w:cs="Times New Roman" w:ascii="Times New Roman" w:hAnsi="Times New Roman"/>
          <w:sz w:val="24"/>
          <w:szCs w:val="24"/>
        </w:rPr>
        <w:t>4,2 V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pracy: około 1h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Gwarancja 24 miesiące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Produkt medyczny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Instrukcja PL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"/>
        <w:spacing w:before="0" w:after="46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 xml:space="preserve">Zad. Nr 6 – Dostawa spirometru – 1 szt. 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środowiskowe do wyboru: Temperatura (wbudowane czujniki), ciśnienie barometryczne, wysokość, wilgotność.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Typy badań: Pojedyncze testy oddechowe, pętle przepływu/objętości, badania wielooddychające, oddychanie pływowe i połączone metody badań typu VC/FVC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wyboru parametrów (w zależności od modelu): VC; IVC; Okręg wyborczy HCZ VT (TV); TLC; RV; IRV; ERV; FRC; FVC; FIVC; FEV1; FEV3; FEV6; FVC; FEV1/VC; FEV1/FVC; FEV3/VC; FEV3/FVC; FEV1/FEV6; FEF75; FEF50; FEF25; FEF25-75; FEF25-75/FVC; FIV1; PIF, FIV1/ FIVC, FIF25, FIF50, FIF75, FEF50/FIF50, FET, MVVind, Stosunek FEV1; FEV0.5; PEF L/min; PEF L/s; FEF 0,2-1,2; FEF 75-85%; FEF25%; FEF50%; FEF75%; FMFT; FIF25%; FIF50%; FIF75%; PIF; FEV0.75; wiek płuc i więcej.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Sugerowana interpretacja: Możliwość wyboru przez użytkownika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Technologia przepływu: Pneumotachograph Fleisch (rozmiar No3)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Rozdzielczość: 10 ml objętości; 0,01 L/s przepływu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Przechowywanie danych: Przechowuje do 10 000 uczestników i setki sesji testowych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Dokładność w zakresie roboczym: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Objętości: Lepsze niż ± 3% (Max 10L / Min 0L) Przepływy: Lepsze niż ± 10% (Max 16L/ s / Min 0.02L/s) Liniowość: ± 5% w zakresie 0.1 L/s do 16 L/s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PowerSAFE™: Wejście 100 - 240V AC 50-60Hz, wyjście 5V DC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Akumulator: Akumulator litowo-polimerowy 3.7v 2000mAH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Wymiary: Urządzenie: 160mm x 100mm x 45mm (z dołączonym głowicą przepływów)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Waga urządzenie: 230g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Waga  (zapakowane): Waga: 1,5 kg, opakowanie: 213 mm x 199 mm x 158 mm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Wilgotność przechowywania: od 10% do 95%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Temperatura przechowywania: od 0°C do 50°C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Zalecany zakres temperatur pracy: 17 - 37°C;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Łączność: Usb 2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Maksymalny czas trwania testu: 20s FVC; 30s VC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Standardy wydajności: ISO 26782:2009 ISO 23747:2007 ATS/ERS 2005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Normy bezpieczeństwa: IEC 60601-1:2005 Standard bezpieczeństwa medycznego: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Dyrektywa w sprawie wyrobów medycznych 2007/47/WE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Zaprojektowane i wyprodukowane pod: ISO 13485:2003 i 2016 FDA 21 CFR 820 CMDR</w:t>
      </w:r>
    </w:p>
    <w:sectPr>
      <w:headerReference w:type="default" r:id="rId2"/>
      <w:footerReference w:type="default" r:id="rId3"/>
      <w:type w:val="nextPage"/>
      <w:pgSz w:w="11906" w:h="16838"/>
      <w:pgMar w:left="993" w:right="1133" w:gutter="0" w:header="708" w:top="1417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Cs w:val="22"/>
        <w:lang w:val="pl-PL" w:eastAsia="en-US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Calibri Light" w:cs="Calibri Light"/>
      <w:color w:val="2F5496"/>
      <w:sz w:val="32"/>
      <w:szCs w:val="32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libri Light" w:hAnsi="Calibri Light" w:eastAsia="Calibri Light" w:cs="Calibri Light"/>
      <w:color w:val="2E74B5"/>
      <w:sz w:val="26"/>
      <w:szCs w:val="26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omylnaczcionkaakapitu"/>
    <w:qFormat/>
    <w:rPr>
      <w:vertAlign w:val="superscript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Nagwek1Znak">
    <w:name w:val="Nagłówek 1 Znak"/>
    <w:basedOn w:val="Domylnaczcionkaakapitu"/>
    <w:qFormat/>
    <w:rPr>
      <w:rFonts w:ascii="Calibri Light" w:hAnsi="Calibri Light" w:eastAsia="Calibri Light" w:cs="Calibri Light"/>
      <w:color w:val="2F5496"/>
      <w:sz w:val="32"/>
      <w:szCs w:val="32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Domylnaczcionkaakapitu2">
    <w:name w:val="Domyślna czcionka akapitu2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Numeracjawierszy">
    <w:name w:val="Numeracja wierszy"/>
    <w:rPr/>
  </w:style>
  <w:style w:type="character" w:styleId="TekstpodstawowyZnak">
    <w:name w:val="Tekst podstawowy Znak"/>
    <w:basedOn w:val="Domylnaczcionkaakapitu"/>
    <w:qFormat/>
    <w:rPr>
      <w:rFonts w:ascii="Calibri" w:hAnsi="Calibri" w:eastAsia="Calibri" w:cs="Times New Roman"/>
      <w:kern w:val="0"/>
      <w:sz w:val="22"/>
    </w:rPr>
  </w:style>
  <w:style w:type="character" w:styleId="WWCharLFO4LVL2">
    <w:name w:val="WW_CharLFO4LVL2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00000A"/>
      <w:kern w:val="2"/>
      <w:sz w:val="24"/>
      <w:szCs w:val="24"/>
      <w:u w:val="none"/>
      <w:em w:val="none"/>
      <w:lang w:val="pl-PL" w:eastAsia="en-US" w:bidi="ar-SA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00000A"/>
      <w:kern w:val="2"/>
      <w:sz w:val="24"/>
      <w:szCs w:val="24"/>
      <w:u w:val="none"/>
      <w:em w:val="none"/>
      <w:lang w:val="pl-PL" w:eastAsia="en-US" w:bidi="ar-SA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Arial"/>
      <w:b w:val="false"/>
      <w:bCs w:val="false"/>
      <w:i w:val="false"/>
      <w:iCs w:val="false"/>
      <w:strike w:val="false"/>
      <w:dstrike w:val="false"/>
      <w:outline w:val="false"/>
      <w:color w:val="00000A"/>
      <w:kern w:val="2"/>
      <w:sz w:val="24"/>
      <w:szCs w:val="24"/>
      <w:u w:val="none"/>
      <w:em w:val="none"/>
      <w:lang w:val="pl-PL" w:eastAsia="en-US" w:bidi="ar-SA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Symbol" w:hAnsi="Symbol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paragraph" w:styleId="Nagwek">
    <w:name w:val="Nagłówek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Lucida San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20"/>
      </w:tabs>
      <w:suppressAutoHyphens w:val="true"/>
      <w:ind w:left="720" w:hanging="0"/>
    </w:pPr>
    <w:rPr/>
  </w:style>
  <w:style w:type="paragraph" w:styleId="Tekstprzypisudolnego">
    <w:name w:val="Tekst przypisu dolnego"/>
    <w:basedOn w:val="Normal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eastAsia="Calibri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en-US" w:bidi="ar-SA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komentarza">
    <w:name w:val="Tekst komentarza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Tekstpodstawowy">
    <w:name w:val="Tekst podstawowy"/>
    <w:basedOn w:val="Normalny"/>
    <w:qFormat/>
    <w:pPr>
      <w:widowControl/>
      <w:suppressAutoHyphens w:val="false"/>
      <w:spacing w:lineRule="auto" w:line="276" w:before="0" w:after="140"/>
      <w:textAlignment w:val="auto"/>
    </w:pPr>
    <w:rPr>
      <w:rFonts w:eastAsia="Calibri" w:cs="Times New Roman"/>
      <w:kern w:val="0"/>
      <w:sz w:val="22"/>
    </w:rPr>
  </w:style>
  <w:style w:type="paragraph" w:styleId="Gwka">
    <w:name w:val="Header"/>
    <w:basedOn w:val="Gwkaistopk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LibreOffice/7.2.5.2$Windows_X86_64 LibreOffice_project/499f9727c189e6ef3471021d6132d4c694f357e5</Application>
  <AppVersion>15.0000</AppVersion>
  <Pages>7</Pages>
  <Words>1412</Words>
  <Characters>8472</Characters>
  <CharactersWithSpaces>9865</CharactersWithSpaces>
  <Paragraphs>19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2022-01-19T12:06:00Z</dcterms:created>
  <dc:creator>Anita Keller</dc:creator>
  <dc:description>protoków podsumowujący IV posiedzenie plenarne KDP</dc:description>
  <cp:keywords>dostępność dostępność dostępność_plus</cp:keywords>
  <dc:language>pl-PL</dc:language>
  <cp:lastModifiedBy>Paweł Mokrzycki</cp:lastModifiedBy>
  <cp:lastPrinted>2023-04-05T09:01:00Z</cp:lastPrinted>
  <dcterms:modified xsi:type="dcterms:W3CDTF">2023-04-07T05:50:00Z</dcterms:modified>
  <cp:revision>39</cp:revision>
  <dc:subject>Dostępność Plus dla zdrowia</dc:subject>
  <dc:title>Date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