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Times New Roman" w:hAnsi="Times New Roman"/>
          <w:sz w:val="24"/>
          <w:szCs w:val="24"/>
        </w:rPr>
        <w:t>ZP.</w:t>
      </w:r>
      <w:r>
        <w:rPr>
          <w:rFonts w:cs="Arial" w:ascii="Times New Roman" w:hAnsi="Times New Roman"/>
          <w:sz w:val="24"/>
          <w:szCs w:val="24"/>
        </w:rPr>
        <w:t>40</w:t>
      </w:r>
      <w:r>
        <w:rPr>
          <w:rFonts w:cs="Arial" w:ascii="Times New Roman" w:hAnsi="Times New Roman"/>
          <w:sz w:val="24"/>
          <w:szCs w:val="24"/>
        </w:rPr>
        <w:t>.RWZ.2024                                                                                                   Załącznik nr 4</w:t>
      </w:r>
      <w:r>
        <w:rPr>
          <w:rFonts w:cs="Arial" w:ascii="Times New Roman" w:hAnsi="Times New Roman"/>
          <w:b/>
          <w:bCs/>
          <w:sz w:val="24"/>
          <w:szCs w:val="24"/>
        </w:rPr>
        <w:t xml:space="preserve">                                                   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  <w:t>Opis przedmiotu zamówienia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Nazwa zamówienia :</w:t>
      </w:r>
    </w:p>
    <w:p>
      <w:pPr>
        <w:pStyle w:val="Normal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  <w:t>Kompleksowa usługa w zakresie nadzoru inwestorskiego dla zadania pn. „Termomodernizacja budynku Uzdrowiskowego Szpitala Kardiologicznego położonego przy ul. Jordana 2 w Rabce Zdroju”.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Cały zakres prac budowlanych w ramach niniejszego zadania inwestycyjnego określa załączona dokumentacja przetargowa.</w:t>
      </w:r>
    </w:p>
    <w:p>
      <w:pPr>
        <w:pStyle w:val="Normal"/>
        <w:rPr>
          <w:rFonts w:ascii="Arial" w:hAnsi="Arial" w:cs="Arial"/>
          <w:sz w:val="24"/>
          <w:szCs w:val="24"/>
          <w:u w:val="single"/>
        </w:rPr>
      </w:pPr>
      <w:r>
        <w:rPr>
          <w:rFonts w:cs="Arial" w:ascii="Times New Roman" w:hAnsi="Times New Roman"/>
          <w:sz w:val="24"/>
          <w:szCs w:val="24"/>
        </w:rPr>
        <w:t>Do obowiązków Inspektora Nadzoru jako Wykonawcy należy: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a) Zakres czynności jaki dla inspektora nadzoru przewiduje ustawa z 7 lipca 1994 r. - Prawo budowlane (Dz.U. z 2023r. poz. 682, z późn. zm.).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b) Obecność na terenie budowy  Wykonawcy (Inspektor Nadzoru branży budowlano-konstrukcyjnej, sanitarnej,  jak i elektrycznej) minimum 2 x w</w:t>
      </w:r>
      <w:r>
        <w:rPr>
          <w:rFonts w:cs="Arial" w:ascii="Times New Roman" w:hAnsi="Times New Roman"/>
          <w:b/>
          <w:sz w:val="24"/>
          <w:szCs w:val="24"/>
        </w:rPr>
        <w:t xml:space="preserve"> </w:t>
      </w:r>
      <w:r>
        <w:rPr>
          <w:rFonts w:cs="Arial" w:ascii="Times New Roman" w:hAnsi="Times New Roman"/>
          <w:sz w:val="24"/>
          <w:szCs w:val="24"/>
        </w:rPr>
        <w:t xml:space="preserve">tygodniu przez cały czas prowadzenia poszczególnych robót budowlanych.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c) Koordynacja robót poszczególnych branż. 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d) Kontrola prawidłowości prowadzenia dziennika budowy i dokonywanie w nim wpisów stwierdzających wszystkie okoliczności mające znaczenie dla właściwego procesu budowlanego oraz wyceny robót.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e) Rozstrzyganie wątpliwości natury technicznej powstałych w toku prowadzonych robót z wyjątkiem spraw mających wpływ na zmianę kosztów budowy.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f) Kontrola i weryfikacja przedkładanych kosztorysów oraz stanu realizacji budżetu inwestycji ,</w:t>
      </w:r>
      <w:bookmarkStart w:id="0" w:name="_GoBack"/>
      <w:bookmarkEnd w:id="0"/>
      <w:r>
        <w:rPr>
          <w:rFonts w:cs="Arial" w:ascii="Times New Roman" w:hAnsi="Times New Roman"/>
          <w:sz w:val="24"/>
          <w:szCs w:val="24"/>
        </w:rPr>
        <w:t xml:space="preserve"> jakości i terminowości wykonanych prac.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g) Potwierdzanie faktycznie wykonanego zakresu robót jako podstawy do fakturowania częściowego zgodnie z postanowieniami umowy zawartej pomiędzy Zamawiającym i Wykonawcą.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h) Uczestnictwo przy przeprowadzeniu wszystkich prób, pomiarów i sprawdzeń.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i) Udział w spotkaniach organizowanych przez Zamawiającego w sprawach dotyczących realizacji przedmiotowej budowy.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j) Uczestnictwo w komisjach odbioru końcowego inwestycji oraz komisjach odbiorów gwarancyjnych.</w:t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k) Wykonawca jest zobowiązany do informowania Zamawiającego na piśmie o konieczności wykonania robót dodatkowych nie uwzględnionych w umowie o roboty budowlane, zawartej pomiędzy Zamawiającym a Wykonawcą, bądź o konieczności rezygnacji  z określonych robót, jeżeli jest to niezbędne i zgodne z treścią Umowy jaką Zamawiający zawarł z Wykonawcą robót i obowiązującymi przepisami wykonania przedmiotu Umowy.</w:t>
      </w:r>
    </w:p>
    <w:p>
      <w:pPr>
        <w:pStyle w:val="Normal"/>
        <w:ind w:right="-510" w:hanging="0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n) Jeżeli w trakcie wykonywania robót budowlanych zajdzie konieczność natychmiastowego przeprowadzenia robót niezbędnych ze względu na bezpieczeństwo albo zabezpieczenie przed awarią, Inspektor jest upoważniony do zlecenia wykonawcy realizacji tych robót i dokonania stosownego wpisu do dziennika budowy oraz niezwłocznego zgłoszenia tego faktu na piśmie Zamawiającemu.</w:t>
      </w:r>
    </w:p>
    <w:p>
      <w:pPr>
        <w:pStyle w:val="Normal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cs="Arial" w:ascii="Times New Roman" w:hAnsi="Times New Roman"/>
          <w:b/>
          <w:sz w:val="24"/>
          <w:szCs w:val="24"/>
          <w:u w:val="single"/>
        </w:rPr>
        <w:t>Warunki, których spełnienie wymagane jest od oferentów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 O udział w konkursie mogą ubiegać się Wykonawcy, którzy spełniają warunki wynikające z art. 12 ust. 1 ustawy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cs="Arial" w:ascii="Times New Roman" w:hAnsi="Times New Roman"/>
          <w:sz w:val="24"/>
          <w:szCs w:val="24"/>
        </w:rPr>
        <w:t>Prawo budowlane, tj.: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1.1. posiadają uprawnienia budowlane w danej specjalności (konstrukcyjno-budowlanej, sanitarnej, elektrycznej) do wykonywania działalności lub czynności objętych przedmiotem postępowania,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1.2. posiadają niezbędną wiedzę i doświadczenie oraz dysponują potencjałem technicznym i osobami zdolnymi do wykonania zamówienia.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Warunek ten Zamawiający uzna za spełniony jeżeli Wykonawca dołączy następujące dokumenty: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-  kopia uprawnień osób przewidzianych do pełnienia nadzoru inwestorskiego odpowiedniej branży (budowlanej, sanitarnej i elektrycznej),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-  aktualne zaświadczenie o przynależności do odpowiedniej izby samorządu zawodowego,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1.3. oświadczenie o nie podleganiu wykluczeniu  z postępowania o udzielenie zamówienia.</w:t>
      </w:r>
    </w:p>
    <w:p>
      <w:pPr>
        <w:pStyle w:val="Normal"/>
        <w:spacing w:before="0" w:after="143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Wykonawca biorący udział w niniejszej procedurze  powinien spełniać łącznie wszystkie przesłanki wyżej określone. Brak spełnienia którejkolwiek przesłanki, o których mowa punktach od  1.1. do 1.3. stanowi podstawę wykluczenia Wykonawcy z postępowania konkursowego.</w:t>
      </w:r>
    </w:p>
    <w:p>
      <w:pPr>
        <w:pStyle w:val="Normal"/>
        <w:spacing w:before="0" w:after="143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Zamawiający dopuszcza udział w postępowaniu Wykonawców występujących wspólnie jako jeden podmiot, który również  winien spełniać łącznie wszystkie w/w warunki dla poszczególnych Wykonawców.</w:t>
      </w:r>
    </w:p>
    <w:p>
      <w:pPr>
        <w:pStyle w:val="Normal"/>
        <w:spacing w:before="0" w:after="143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 przypadku, gdyby brak dokumentów w złożonych ofertach potwierdzających spełnienie warunków udziału w postępowaniu konkursowym skutkowałby unieważnieniem postępowania zamawiający będzie miał prawo do wezwania wykonawców do ich uzupełnienia.</w:t>
      </w:r>
    </w:p>
    <w:p>
      <w:pPr>
        <w:pStyle w:val="Normal"/>
        <w:rPr>
          <w:rFonts w:ascii="Times New Roman" w:hAnsi="Times New Roman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</w:r>
    </w:p>
    <w:p>
      <w:pPr>
        <w:pStyle w:val="Normal"/>
        <w:rPr>
          <w:rFonts w:ascii="Times New Roman" w:hAnsi="Times New Roman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</w:r>
    </w:p>
    <w:p>
      <w:pPr>
        <w:pStyle w:val="Normal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>Wymagania techniczne i jakościowe.</w:t>
      </w:r>
    </w:p>
    <w:p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Przedmiot zamówienia należy wykonać na podstawie dokumentacji przetargowej, zgodnie z obowiązującymi przepisami i zasadami wiedzy technicznej.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Przedmiot zamówienia należy wykonać zgodnie ze Specyfikacjami Technicznymi Wykonania i Odbioru Robót dla robót objętych zamówieniem.</w:t>
      </w:r>
    </w:p>
    <w:p>
      <w:pPr>
        <w:pStyle w:val="Normal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>Opis sposobu obliczenia ceny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Cena brutto ofert dla poszczególnych branż musi zawierać wszystkie koszty niezbędne do poniesienia w celu zrealizowania zamówienia.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Wykonawca w cenie oferty jest zobowiązany zawrzeć wszelkie upusty i rabaty, jakich zamierza udzielić Zamawiającemu.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Do porównania ofert będzie brana cena brutto w PLN.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Cena ofertowa brutto powinna zawierać wartość usług niezbędnych do wykonania zamówienia dot. pełnienia nadzoru inwestorskiego nad robotami budowlanymi, odrębnie dla branży budowlanej, sanitarnej i elektrycznej.</w:t>
      </w:r>
    </w:p>
    <w:p>
      <w:pPr>
        <w:pStyle w:val="ListParagraph"/>
        <w:ind w:left="284" w:hanging="0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ListParagraph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>Kryteria oceny ofert.</w:t>
      </w:r>
    </w:p>
    <w:p>
      <w:pPr>
        <w:pStyle w:val="ListParagraph"/>
        <w:ind w:left="284" w:hanging="284"/>
        <w:rPr>
          <w:rFonts w:ascii="Times New Roman" w:hAnsi="Times New Roman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Przy wyborze najkorzystniejszej oferty (odrębnie dla branży budowlanej, sanitarnej i elektrycznej)  Zamawiający będzie się kierował się kryterium wyboru:</w:t>
      </w:r>
    </w:p>
    <w:p>
      <w:pPr>
        <w:pStyle w:val="ListParagraph"/>
        <w:ind w:left="284" w:hanging="0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-</w:t>
        <w:tab/>
        <w:t>cena 100 %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 kryterium „cena" zostanie zastosowany wzór:</w:t>
      </w:r>
    </w:p>
    <w:p>
      <w:pPr>
        <w:pStyle w:val="ListParagraph"/>
        <w:ind w:left="284" w:hanging="0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ListParagraph"/>
        <w:ind w:left="284" w:hanging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 xml:space="preserve">                                </w:t>
      </w:r>
      <w:r>
        <w:rPr>
          <w:rFonts w:cs="Arial" w:ascii="Times New Roman" w:hAnsi="Times New Roman"/>
          <w:b/>
          <w:sz w:val="24"/>
          <w:szCs w:val="24"/>
        </w:rPr>
        <w:t>najniższa oferowana cena brutto</w:t>
      </w:r>
    </w:p>
    <w:p>
      <w:pPr>
        <w:pStyle w:val="ListParagraph"/>
        <w:ind w:left="284" w:hanging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>ocena punktowa =…………………………………………..</w:t>
        <w:tab/>
        <w:t>x 100 punktów x l00%</w:t>
      </w:r>
    </w:p>
    <w:p>
      <w:pPr>
        <w:pStyle w:val="ListParagraph"/>
        <w:ind w:left="284" w:hanging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 xml:space="preserve">                                                </w:t>
      </w:r>
      <w:r>
        <w:rPr>
          <w:rFonts w:cs="Arial" w:ascii="Times New Roman" w:hAnsi="Times New Roman"/>
          <w:b/>
          <w:sz w:val="24"/>
          <w:szCs w:val="24"/>
        </w:rPr>
        <w:t>badana cena brutto</w:t>
      </w:r>
    </w:p>
    <w:p>
      <w:pPr>
        <w:pStyle w:val="ListParagraph"/>
        <w:ind w:left="284" w:hanging="0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ListParagraph"/>
        <w:ind w:left="284" w:hanging="0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Za najkorzystniejszą zostanie uznana oferta dla danej branży, która otrzyma najwięcej punktów.</w:t>
      </w:r>
    </w:p>
    <w:p>
      <w:pPr>
        <w:pStyle w:val="ListParagraph"/>
        <w:ind w:left="284" w:hanging="0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Wartości  poszczególnych robót budowlanych wg oferty Wykonawcy robót wynoszą :</w:t>
      </w:r>
    </w:p>
    <w:p>
      <w:pPr>
        <w:pStyle w:val="ListParagraph"/>
        <w:ind w:left="1065" w:hanging="0"/>
        <w:rPr>
          <w:rFonts w:cs="Arial"/>
          <w:b/>
          <w:b/>
          <w:color w:val="FF0000"/>
        </w:rPr>
      </w:pPr>
      <w:r>
        <w:rPr>
          <w:rFonts w:cs="Arial"/>
          <w:b/>
          <w:color w:val="FF0000"/>
        </w:rPr>
      </w:r>
    </w:p>
    <w:p>
      <w:pPr>
        <w:pStyle w:val="ListParagraph"/>
        <w:spacing w:before="0" w:after="200"/>
        <w:ind w:left="1065" w:hanging="0"/>
        <w:contextualSpacing/>
        <w:rPr/>
      </w:pPr>
      <w:r>
        <w:rPr>
          <w:rFonts w:cs="Arial" w:ascii="Times New Roman" w:hAnsi="Times New Roman"/>
          <w:sz w:val="24"/>
          <w:szCs w:val="24"/>
        </w:rPr>
        <w:t>- dla robót budowlanych -    805 277,83 zł netto</w:t>
        <w:br/>
        <w:t>- dla robót sanitarnych -    1 250 978,25 zł netto</w:t>
        <w:br/>
        <w:t>- dla robót elektrycznych -   197 005,08 zł netto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Pr>
      <w:rFonts w:cs="Courier New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ascii="Arial" w:hAnsi="Arial" w:cs="Symbol"/>
      <w:sz w:val="24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Wingdings"/>
    </w:rPr>
  </w:style>
  <w:style w:type="character" w:styleId="ListLabel10" w:customStyle="1">
    <w:name w:val="ListLabel 10"/>
    <w:qFormat/>
    <w:rPr>
      <w:rFonts w:cs="Symbol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Wingdings"/>
    </w:rPr>
  </w:style>
  <w:style w:type="character" w:styleId="ListLabel13" w:customStyle="1">
    <w:name w:val="ListLabel 13"/>
    <w:qFormat/>
    <w:rPr>
      <w:rFonts w:cs="Symbol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Wingdings"/>
    </w:rPr>
  </w:style>
  <w:style w:type="character" w:styleId="ListLabel16" w:customStyle="1">
    <w:name w:val="ListLabel 16"/>
    <w:qFormat/>
    <w:rPr>
      <w:rFonts w:ascii="Arial" w:hAnsi="Arial" w:cs="Symbol"/>
      <w:sz w:val="24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Wingdings"/>
    </w:rPr>
  </w:style>
  <w:style w:type="character" w:styleId="ListLabel19" w:customStyle="1">
    <w:name w:val="ListLabel 19"/>
    <w:qFormat/>
    <w:rPr>
      <w:rFonts w:cs="Symbol"/>
    </w:rPr>
  </w:style>
  <w:style w:type="character" w:styleId="ListLabel20" w:customStyle="1">
    <w:name w:val="ListLabel 20"/>
    <w:qFormat/>
    <w:rPr>
      <w:rFonts w:cs="Courier New"/>
    </w:rPr>
  </w:style>
  <w:style w:type="character" w:styleId="ListLabel21" w:customStyle="1">
    <w:name w:val="ListLabel 21"/>
    <w:qFormat/>
    <w:rPr>
      <w:rFonts w:cs="Wingdings"/>
    </w:rPr>
  </w:style>
  <w:style w:type="character" w:styleId="ListLabel22" w:customStyle="1">
    <w:name w:val="ListLabel 22"/>
    <w:qFormat/>
    <w:rPr>
      <w:rFonts w:cs="Symbol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rFonts w:cs="Wingdings"/>
    </w:rPr>
  </w:style>
  <w:style w:type="character" w:styleId="ListLabel25" w:customStyle="1">
    <w:name w:val="ListLabel 25"/>
    <w:qFormat/>
    <w:rPr>
      <w:rFonts w:ascii="Arial" w:hAnsi="Arial" w:cs="Symbol"/>
      <w:sz w:val="24"/>
    </w:rPr>
  </w:style>
  <w:style w:type="character" w:styleId="ListLabel26" w:customStyle="1">
    <w:name w:val="ListLabel 26"/>
    <w:qFormat/>
    <w:rPr>
      <w:rFonts w:cs="Courier New"/>
    </w:rPr>
  </w:style>
  <w:style w:type="character" w:styleId="ListLabel27" w:customStyle="1">
    <w:name w:val="ListLabel 27"/>
    <w:qFormat/>
    <w:rPr>
      <w:rFonts w:cs="Wingdings"/>
    </w:rPr>
  </w:style>
  <w:style w:type="character" w:styleId="ListLabel28" w:customStyle="1">
    <w:name w:val="ListLabel 28"/>
    <w:qFormat/>
    <w:rPr>
      <w:rFonts w:cs="Symbol"/>
    </w:rPr>
  </w:style>
  <w:style w:type="character" w:styleId="ListLabel29" w:customStyle="1">
    <w:name w:val="ListLabel 29"/>
    <w:qFormat/>
    <w:rPr>
      <w:rFonts w:cs="Courier New"/>
    </w:rPr>
  </w:style>
  <w:style w:type="character" w:styleId="ListLabel30" w:customStyle="1">
    <w:name w:val="ListLabel 30"/>
    <w:qFormat/>
    <w:rPr>
      <w:rFonts w:cs="Wingdings"/>
    </w:rPr>
  </w:style>
  <w:style w:type="character" w:styleId="ListLabel31" w:customStyle="1">
    <w:name w:val="ListLabel 31"/>
    <w:qFormat/>
    <w:rPr>
      <w:rFonts w:cs="Symbol"/>
    </w:rPr>
  </w:style>
  <w:style w:type="character" w:styleId="ListLabel32" w:customStyle="1">
    <w:name w:val="ListLabel 32"/>
    <w:qFormat/>
    <w:rPr>
      <w:rFonts w:cs="Courier New"/>
    </w:rPr>
  </w:style>
  <w:style w:type="character" w:styleId="ListLabel33" w:customStyle="1">
    <w:name w:val="ListLabel 33"/>
    <w:qFormat/>
    <w:rPr>
      <w:rFonts w:cs="Wingdings"/>
    </w:rPr>
  </w:style>
  <w:style w:type="character" w:styleId="ListLabel34" w:customStyle="1">
    <w:name w:val="ListLabel 34"/>
    <w:qFormat/>
    <w:rPr>
      <w:rFonts w:ascii="Arial" w:hAnsi="Arial" w:cs="Symbol"/>
      <w:sz w:val="24"/>
    </w:rPr>
  </w:style>
  <w:style w:type="character" w:styleId="ListLabel35" w:customStyle="1">
    <w:name w:val="ListLabel 35"/>
    <w:qFormat/>
    <w:rPr>
      <w:rFonts w:cs="Courier New"/>
    </w:rPr>
  </w:style>
  <w:style w:type="character" w:styleId="ListLabel36" w:customStyle="1">
    <w:name w:val="ListLabel 36"/>
    <w:qFormat/>
    <w:rPr>
      <w:rFonts w:cs="Wingdings"/>
    </w:rPr>
  </w:style>
  <w:style w:type="character" w:styleId="ListLabel37" w:customStyle="1">
    <w:name w:val="ListLabel 37"/>
    <w:qFormat/>
    <w:rPr>
      <w:rFonts w:cs="Symbol"/>
    </w:rPr>
  </w:style>
  <w:style w:type="character" w:styleId="ListLabel38" w:customStyle="1">
    <w:name w:val="ListLabel 38"/>
    <w:qFormat/>
    <w:rPr>
      <w:rFonts w:cs="Courier New"/>
    </w:rPr>
  </w:style>
  <w:style w:type="character" w:styleId="ListLabel39" w:customStyle="1">
    <w:name w:val="ListLabel 39"/>
    <w:qFormat/>
    <w:rPr>
      <w:rFonts w:cs="Wingdings"/>
    </w:rPr>
  </w:style>
  <w:style w:type="character" w:styleId="ListLabel40" w:customStyle="1">
    <w:name w:val="ListLabel 40"/>
    <w:qFormat/>
    <w:rPr>
      <w:rFonts w:cs="Symbol"/>
    </w:rPr>
  </w:style>
  <w:style w:type="character" w:styleId="ListLabel41" w:customStyle="1">
    <w:name w:val="ListLabel 41"/>
    <w:qFormat/>
    <w:rPr>
      <w:rFonts w:cs="Courier New"/>
    </w:rPr>
  </w:style>
  <w:style w:type="character" w:styleId="ListLabel42" w:customStyle="1">
    <w:name w:val="ListLabel 42"/>
    <w:qFormat/>
    <w:rPr>
      <w:rFonts w:cs="Wingdings"/>
    </w:rPr>
  </w:style>
  <w:style w:type="character" w:styleId="ListLabel43">
    <w:name w:val="ListLabel 43"/>
    <w:qFormat/>
    <w:rPr>
      <w:rFonts w:ascii="Arial" w:hAnsi="Arial" w:cs="Symbol"/>
      <w:sz w:val="24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Symbol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ascii="Arial" w:hAnsi="Arial" w:cs="Symbol"/>
      <w:sz w:val="24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ascii="Arial" w:hAnsi="Arial" w:cs="Symbol"/>
      <w:sz w:val="24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ascii="Arial" w:hAnsi="Arial" w:cs="Symbol"/>
      <w:sz w:val="24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Wingdings"/>
    </w:rPr>
  </w:style>
  <w:style w:type="character" w:styleId="ListLabel73">
    <w:name w:val="ListLabel 73"/>
    <w:qFormat/>
    <w:rPr>
      <w:rFonts w:cs="Symbol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Wingdings"/>
    </w:rPr>
  </w:style>
  <w:style w:type="character" w:styleId="ListLabel76">
    <w:name w:val="ListLabel 76"/>
    <w:qFormat/>
    <w:rPr>
      <w:rFonts w:cs="Symbol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7649ce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Application>LibreOffice/6.2.4.2$Windows_X86_64 LibreOffice_project/2412653d852ce75f65fbfa83fb7e7b669a126d64</Application>
  <Pages>3</Pages>
  <Words>721</Words>
  <Characters>4933</Characters>
  <CharactersWithSpaces>5850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2018-04-17T10:43:00Z</dcterms:created>
  <dc:creator>Użytkownik systemu Windows</dc:creator>
  <dc:description/>
  <dc:language>pl-PL</dc:language>
  <cp:lastModifiedBy/>
  <cp:lastPrinted>2023-12-06T13:00:00Z</cp:lastPrinted>
  <dcterms:modified xsi:type="dcterms:W3CDTF">2024-12-23T11:46:13Z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