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86DF" w14:textId="3B5439B6" w:rsidR="00F66603" w:rsidRPr="004B5771" w:rsidRDefault="004B5771" w:rsidP="007F5B46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Świadczenie usług rzecznika patentowego dla IKiFP PAN w zakresie ochrony praw własności przemysłowej </w:t>
      </w:r>
    </w:p>
    <w:p w14:paraId="13451B8A" w14:textId="77777777" w:rsidR="00395746" w:rsidRPr="004B5771" w:rsidRDefault="00395746" w:rsidP="00EB3F78">
      <w:pPr>
        <w:spacing w:after="0" w:line="240" w:lineRule="auto"/>
        <w:rPr>
          <w:rFonts w:cstheme="minorHAnsi"/>
        </w:rPr>
      </w:pPr>
    </w:p>
    <w:p w14:paraId="3704D325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44C9A4B1" w14:textId="5DEE3941" w:rsidR="004B5771" w:rsidRDefault="004B5771" w:rsidP="00323F8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zakres przedmiotu zamówienia wchodzą, w szczególności:</w:t>
      </w:r>
    </w:p>
    <w:p w14:paraId="29A7FBAD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221F889D" w14:textId="24C215C3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Badania patentowe</w:t>
      </w:r>
    </w:p>
    <w:p w14:paraId="2EC8AB6E" w14:textId="14697035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Prowadzenie poszukiwań patentowych, badań w literaturze i bazach danych</w:t>
      </w:r>
    </w:p>
    <w:p w14:paraId="63655DDF" w14:textId="5C4D68E0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Rozeznania patentowe i b</w:t>
      </w:r>
      <w:r w:rsidRPr="004B5771">
        <w:rPr>
          <w:rFonts w:cstheme="minorHAnsi"/>
        </w:rPr>
        <w:t>adania stanu techniki</w:t>
      </w:r>
    </w:p>
    <w:p w14:paraId="42CF15B8" w14:textId="47BED75E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Badania zdolności patentowej</w:t>
      </w:r>
    </w:p>
    <w:p w14:paraId="1D81084A" w14:textId="49978E07" w:rsidR="004B5771" w:rsidRPr="004B5771" w:rsidRDefault="004B5771" w:rsidP="00323F8B">
      <w:p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 xml:space="preserve">Badania </w:t>
      </w:r>
      <w:r>
        <w:rPr>
          <w:rFonts w:cstheme="minorHAnsi"/>
        </w:rPr>
        <w:t xml:space="preserve">mają być </w:t>
      </w:r>
      <w:r w:rsidRPr="004B5771">
        <w:rPr>
          <w:rFonts w:cstheme="minorHAnsi"/>
        </w:rPr>
        <w:t>wykonywane z wykorzystaniem publicznych i komercyjnych baz danych</w:t>
      </w:r>
      <w:r w:rsidR="00AA47A6">
        <w:rPr>
          <w:rFonts w:cstheme="minorHAnsi"/>
        </w:rPr>
        <w:t xml:space="preserve"> (np.</w:t>
      </w:r>
      <w:r w:rsidRPr="004B5771">
        <w:rPr>
          <w:rFonts w:cstheme="minorHAnsi"/>
        </w:rPr>
        <w:t xml:space="preserve"> PatBase®</w:t>
      </w:r>
      <w:r w:rsidR="00AA47A6">
        <w:rPr>
          <w:rFonts w:cstheme="minorHAnsi"/>
        </w:rPr>
        <w:t>)</w:t>
      </w:r>
    </w:p>
    <w:p w14:paraId="3CC3EE69" w14:textId="77777777" w:rsidR="00DC79B2" w:rsidRDefault="00DC79B2" w:rsidP="00323F8B">
      <w:pPr>
        <w:spacing w:after="0" w:line="240" w:lineRule="auto"/>
        <w:jc w:val="both"/>
        <w:rPr>
          <w:rFonts w:cstheme="minorHAnsi"/>
          <w:b/>
        </w:rPr>
      </w:pPr>
    </w:p>
    <w:p w14:paraId="7A27CD8E" w14:textId="6CA6241A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Doradztwo</w:t>
      </w:r>
    </w:p>
    <w:p w14:paraId="6405B626" w14:textId="1E9DF27C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Analizy projektów wynalazc</w:t>
      </w:r>
      <w:r w:rsidR="00DC79B2" w:rsidRPr="00DC79B2">
        <w:rPr>
          <w:rFonts w:cstheme="minorHAnsi"/>
        </w:rPr>
        <w:t>zych pod kątem możliwej ochrony</w:t>
      </w:r>
    </w:p>
    <w:p w14:paraId="4A29A97E" w14:textId="10C19E6D" w:rsidR="004B5771" w:rsidRPr="00DC79B2" w:rsidRDefault="00DC79B2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Opiniowanie</w:t>
      </w:r>
      <w:r w:rsidR="004B5771" w:rsidRPr="00DC79B2">
        <w:rPr>
          <w:rFonts w:cstheme="minorHAnsi"/>
        </w:rPr>
        <w:t xml:space="preserve"> umów z zakresu prawa własności</w:t>
      </w:r>
      <w:r w:rsidRPr="00DC79B2">
        <w:rPr>
          <w:rFonts w:cstheme="minorHAnsi"/>
        </w:rPr>
        <w:t xml:space="preserve"> przemysłowej</w:t>
      </w:r>
    </w:p>
    <w:p w14:paraId="3B5830DF" w14:textId="7B48F531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Pom</w:t>
      </w:r>
      <w:r w:rsidR="00DC79B2" w:rsidRPr="00DC79B2">
        <w:rPr>
          <w:rFonts w:cstheme="minorHAnsi"/>
        </w:rPr>
        <w:t>oc w zawieraniu umów z twórcami</w:t>
      </w:r>
    </w:p>
    <w:p w14:paraId="4157BCA5" w14:textId="6905070A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Porady odnośnie przygotowywania planów badań patentowych</w:t>
      </w:r>
    </w:p>
    <w:p w14:paraId="5DECD36A" w14:textId="1A1E1AF0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Wsparcie organizacyjno-administracyjne związane z obsługą spraw włas</w:t>
      </w:r>
      <w:r w:rsidR="00DC79B2">
        <w:rPr>
          <w:rFonts w:cstheme="minorHAnsi"/>
        </w:rPr>
        <w:t xml:space="preserve">ności przemysłowej </w:t>
      </w:r>
    </w:p>
    <w:p w14:paraId="40DCA8F2" w14:textId="192378A4" w:rsidR="004B5771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Konsultacje z twórcami w zakresie przygotowania dokumentacji zgłoszeniowej oraz prawa własności</w:t>
      </w:r>
      <w:r w:rsidR="00DC79B2">
        <w:rPr>
          <w:rFonts w:cstheme="minorHAnsi"/>
        </w:rPr>
        <w:t xml:space="preserve"> przemysłowej</w:t>
      </w:r>
    </w:p>
    <w:p w14:paraId="00D7DBFC" w14:textId="77777777" w:rsidR="00DC79B2" w:rsidRPr="00DC79B2" w:rsidRDefault="00DC79B2" w:rsidP="00323F8B">
      <w:pPr>
        <w:pStyle w:val="Akapitzlist"/>
        <w:spacing w:after="0" w:line="240" w:lineRule="auto"/>
        <w:jc w:val="both"/>
        <w:rPr>
          <w:rFonts w:cstheme="minorHAnsi"/>
        </w:rPr>
      </w:pPr>
    </w:p>
    <w:p w14:paraId="6C4A290C" w14:textId="77777777" w:rsidR="004B5771" w:rsidRPr="00DC79B2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DC79B2">
        <w:rPr>
          <w:rFonts w:cstheme="minorHAnsi"/>
          <w:b/>
        </w:rPr>
        <w:t>Zgłoszenia wynalazków i wzorów użytkowych</w:t>
      </w:r>
    </w:p>
    <w:p w14:paraId="1C55491C" w14:textId="3F75623B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Przygotowanie dokumentacji zgłoszeniowej i dokonywanie zgłoszeń wynalazków/wzorów użytkowych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Urzędzie Patentowym RP (UPRP), Europejskim Urzędzie Patentowym (EPO) oraz Światowej Organizacji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Własności Intelektualnej (WIPO)</w:t>
      </w:r>
    </w:p>
    <w:p w14:paraId="0EE2803B" w14:textId="5EB34060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Prowadzenie postępowań zgłoszeniowych w trybie krajowym, międzynarodowym PCT i europejskim EuroPCT/EPC wraz z uznaniem patentów w wyznaczonych krajach od zgłoszenia do uzyskania decyzji</w:t>
      </w:r>
    </w:p>
    <w:p w14:paraId="0D67F7B9" w14:textId="15465491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Zarządzanie postępowaniami rejestrowymi za granicą i współpraca z zagranicznymi pełnomocnikami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postępowaniach przed zagranicznymi urzędami patentowymi</w:t>
      </w:r>
    </w:p>
    <w:p w14:paraId="4626FE11" w14:textId="77777777" w:rsidR="00DC79B2" w:rsidRPr="004B5771" w:rsidRDefault="00DC79B2" w:rsidP="00323F8B">
      <w:pPr>
        <w:spacing w:after="0" w:line="240" w:lineRule="auto"/>
        <w:jc w:val="both"/>
        <w:rPr>
          <w:rFonts w:cstheme="minorHAnsi"/>
        </w:rPr>
      </w:pPr>
    </w:p>
    <w:p w14:paraId="68973B3D" w14:textId="77777777" w:rsidR="004B5771" w:rsidRPr="00323F8B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323F8B">
        <w:rPr>
          <w:rFonts w:cstheme="minorHAnsi"/>
          <w:b/>
        </w:rPr>
        <w:t>Zgłoszenia znaków towarowych i wzorów przemysłowych</w:t>
      </w:r>
    </w:p>
    <w:p w14:paraId="0129DDBE" w14:textId="41E844F9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Dokonywanie zgłoszeń znaków towarowych/ wzorów przemysłowych w trybie krajowym, regionalnym i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międzynarodowym stosownie do przekazywanych przez Instytut instrukcji</w:t>
      </w:r>
    </w:p>
    <w:p w14:paraId="3E2C7EF1" w14:textId="5E73B160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zawiadamianie o udzieleniu prawa ochronnego</w:t>
      </w:r>
    </w:p>
    <w:p w14:paraId="4C0EB0E1" w14:textId="7FE7A29B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Zawiadamianie o publikacji o udzielonym prawie ochronnym</w:t>
      </w:r>
    </w:p>
    <w:p w14:paraId="6AA4780F" w14:textId="578B81AE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doręczanie świadectw ochronnych</w:t>
      </w:r>
    </w:p>
    <w:p w14:paraId="429ECCDD" w14:textId="210B205D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Wnoszenie opłat urzędowych w toku postępowania zgłoszeniowego</w:t>
      </w:r>
    </w:p>
    <w:p w14:paraId="612605F6" w14:textId="3ADF29B3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Raporty o stanie sprawy</w:t>
      </w:r>
    </w:p>
    <w:p w14:paraId="1EA7912F" w14:textId="0141E7C4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Udzielanie wyjaśnień oraz dostępnych informacji bezpośrednio, drogą telefoniczną lub e-mailową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sprawach związanych z przygotowaniem zgłoszenia danego znaku towarowego/wzoru przemysłowego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wybranym urzędzie, tj. konsultacje w zakresie wyboru rodzaju zgłaszanego znaku towarowego (znak słowny,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graficzny itp.), przygotowania odpowiedniej dokumentacji, wyboru klas do zgłoszenia, opracowania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graficznego znaku itp.</w:t>
      </w:r>
    </w:p>
    <w:p w14:paraId="579DD642" w14:textId="77777777" w:rsidR="00323F8B" w:rsidRPr="004B5771" w:rsidRDefault="00323F8B" w:rsidP="004B5771">
      <w:pPr>
        <w:spacing w:after="0" w:line="240" w:lineRule="auto"/>
        <w:rPr>
          <w:rFonts w:cstheme="minorHAnsi"/>
        </w:rPr>
      </w:pPr>
    </w:p>
    <w:p w14:paraId="1D798C39" w14:textId="77777777" w:rsidR="004B5771" w:rsidRPr="00323F8B" w:rsidRDefault="004B5771" w:rsidP="004B5771">
      <w:pPr>
        <w:spacing w:after="0" w:line="240" w:lineRule="auto"/>
        <w:rPr>
          <w:rFonts w:cstheme="minorHAnsi"/>
          <w:b/>
        </w:rPr>
      </w:pPr>
      <w:r w:rsidRPr="00323F8B">
        <w:rPr>
          <w:rFonts w:cstheme="minorHAnsi"/>
          <w:b/>
        </w:rPr>
        <w:t>Odnowienia praw wyłącznych</w:t>
      </w:r>
    </w:p>
    <w:p w14:paraId="5B051982" w14:textId="296779B9" w:rsidR="004B5771" w:rsidRPr="00323F8B" w:rsidRDefault="004B5771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Nadzór nad terminami i opłatami w sprawach praw w</w:t>
      </w:r>
      <w:r w:rsidR="00323F8B">
        <w:rPr>
          <w:rFonts w:cstheme="minorHAnsi"/>
        </w:rPr>
        <w:t>łasności przemysłowej</w:t>
      </w:r>
    </w:p>
    <w:p w14:paraId="57A6223F" w14:textId="64B6016D" w:rsidR="004B5771" w:rsidRDefault="00323F8B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Prowadzenie rejestru</w:t>
      </w:r>
    </w:p>
    <w:p w14:paraId="35618F23" w14:textId="2CDC14F3" w:rsidR="009A5DA6" w:rsidRDefault="009A5DA6" w:rsidP="009A5DA6">
      <w:pPr>
        <w:spacing w:after="0" w:line="240" w:lineRule="auto"/>
        <w:jc w:val="both"/>
        <w:rPr>
          <w:rFonts w:cstheme="minorHAnsi"/>
        </w:rPr>
      </w:pPr>
    </w:p>
    <w:p w14:paraId="565616C8" w14:textId="77777777" w:rsidR="009A5DA6" w:rsidRPr="00EE77A4" w:rsidRDefault="009A5DA6" w:rsidP="009A5DA6">
      <w:pPr>
        <w:spacing w:after="0" w:line="240" w:lineRule="auto"/>
        <w:jc w:val="both"/>
        <w:rPr>
          <w:b/>
        </w:rPr>
      </w:pPr>
      <w:r w:rsidRPr="00EE77A4">
        <w:rPr>
          <w:b/>
        </w:rPr>
        <w:t>Postępowania sporne</w:t>
      </w:r>
    </w:p>
    <w:p w14:paraId="03BB8278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lastRenderedPageBreak/>
        <w:t>Prowadzenie postęp</w:t>
      </w:r>
      <w:r w:rsidR="00EE77A4">
        <w:t>owań spornych przed UPRP, EPO</w:t>
      </w:r>
    </w:p>
    <w:p w14:paraId="46FEB696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t>Prowadzenie postępowań spornych przed sądami admi</w:t>
      </w:r>
      <w:r w:rsidR="00EE77A4">
        <w:t>nistracyjnymi i powszechnymi</w:t>
      </w:r>
    </w:p>
    <w:p w14:paraId="121C6B59" w14:textId="08768CA8" w:rsidR="009A5DA6" w:rsidRP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>
        <w:t>Sporządzanie i występowanie z pismami ostrzegawczymi</w:t>
      </w:r>
    </w:p>
    <w:p w14:paraId="5546F270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68C78D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3D4964" w14:textId="77777777" w:rsidR="00EE77A4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Ofertę należy przygotować z wykorzystaniem następującej tabeli:</w:t>
      </w:r>
    </w:p>
    <w:p w14:paraId="270ED3CA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5706E21D" w14:textId="77777777" w:rsidR="00D40B7A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2"/>
        <w:gridCol w:w="6526"/>
        <w:gridCol w:w="3118"/>
      </w:tblGrid>
      <w:tr w:rsidR="00D40B7A" w:rsidRPr="00D40B7A" w14:paraId="6194389F" w14:textId="77777777" w:rsidTr="00A45F96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F6A66EE" w14:textId="7ED72FD8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L.p.</w:t>
            </w:r>
          </w:p>
        </w:tc>
        <w:tc>
          <w:tcPr>
            <w:tcW w:w="6526" w:type="dxa"/>
            <w:shd w:val="clear" w:color="auto" w:fill="D9D9D9" w:themeFill="background1" w:themeFillShade="D9"/>
            <w:vAlign w:val="center"/>
          </w:tcPr>
          <w:p w14:paraId="3FFBA808" w14:textId="19F6A2BC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Czynność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46A0024" w14:textId="65F33B13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Stawka (PLN) netto</w:t>
            </w:r>
          </w:p>
        </w:tc>
      </w:tr>
      <w:tr w:rsidR="00D40B7A" w14:paraId="1DC58E8F" w14:textId="77777777" w:rsidTr="006B40B3">
        <w:tc>
          <w:tcPr>
            <w:tcW w:w="562" w:type="dxa"/>
            <w:vAlign w:val="center"/>
          </w:tcPr>
          <w:p w14:paraId="0E4D19E9" w14:textId="0A0E1B80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526" w:type="dxa"/>
            <w:vAlign w:val="center"/>
          </w:tcPr>
          <w:p w14:paraId="3EE7B392" w14:textId="3B9A2295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Badanie patentowe (rozeznanie patentowe w stanie techniki do celów opracowania zgłoszenia)</w:t>
            </w:r>
          </w:p>
        </w:tc>
        <w:tc>
          <w:tcPr>
            <w:tcW w:w="3118" w:type="dxa"/>
            <w:vAlign w:val="center"/>
          </w:tcPr>
          <w:p w14:paraId="2B8E470E" w14:textId="77777777" w:rsidR="008B05AB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Ryczałt </w:t>
            </w:r>
          </w:p>
          <w:p w14:paraId="59E0BD28" w14:textId="287F0277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………….PLN</w:t>
            </w:r>
          </w:p>
        </w:tc>
      </w:tr>
      <w:tr w:rsidR="006B40B3" w14:paraId="37943733" w14:textId="77777777" w:rsidTr="00240D45">
        <w:tc>
          <w:tcPr>
            <w:tcW w:w="562" w:type="dxa"/>
            <w:vAlign w:val="center"/>
          </w:tcPr>
          <w:p w14:paraId="3EFAD46C" w14:textId="5A41BFA9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526" w:type="dxa"/>
            <w:vAlign w:val="center"/>
          </w:tcPr>
          <w:p w14:paraId="37B41039" w14:textId="125EDC60" w:rsidR="006B40B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Opracowanie z</w:t>
            </w:r>
            <w:r w:rsidR="006B40B3">
              <w:rPr>
                <w:rFonts w:cstheme="minorHAnsi"/>
              </w:rPr>
              <w:t>głoszeni</w:t>
            </w:r>
            <w:r>
              <w:rPr>
                <w:rFonts w:cstheme="minorHAnsi"/>
              </w:rPr>
              <w:t>a</w:t>
            </w:r>
            <w:r w:rsidR="006B40B3">
              <w:rPr>
                <w:rFonts w:cstheme="minorHAnsi"/>
              </w:rPr>
              <w:t xml:space="preserve"> patentowe</w:t>
            </w:r>
            <w:r>
              <w:rPr>
                <w:rFonts w:cstheme="minorHAnsi"/>
              </w:rPr>
              <w:t>go</w:t>
            </w:r>
            <w:r w:rsidR="006B40B3">
              <w:rPr>
                <w:rFonts w:cstheme="minorHAnsi"/>
              </w:rPr>
              <w:t xml:space="preserve"> w języku polskim w procedurze PCT (z przygotowaniem i złożeniem wniosku do urzędu)</w:t>
            </w:r>
          </w:p>
        </w:tc>
        <w:tc>
          <w:tcPr>
            <w:tcW w:w="3118" w:type="dxa"/>
          </w:tcPr>
          <w:p w14:paraId="59C58BA5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1DF1E25" w14:textId="0C48A3EE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6B40B3" w14:paraId="074E4598" w14:textId="77777777" w:rsidTr="00240D45">
        <w:tc>
          <w:tcPr>
            <w:tcW w:w="562" w:type="dxa"/>
            <w:vAlign w:val="center"/>
          </w:tcPr>
          <w:p w14:paraId="4C167D7D" w14:textId="27629F25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6526" w:type="dxa"/>
            <w:vAlign w:val="center"/>
          </w:tcPr>
          <w:p w14:paraId="15D8F5B6" w14:textId="6FB87328" w:rsidR="006B40B3" w:rsidRDefault="008B05AB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Opracowanie zgłoszenia patentowego </w:t>
            </w:r>
            <w:r w:rsidR="006B40B3">
              <w:rPr>
                <w:rFonts w:cstheme="minorHAnsi"/>
              </w:rPr>
              <w:t>w języku polskim w procedurze EPO</w:t>
            </w:r>
            <w:r w:rsidR="0050074E">
              <w:rPr>
                <w:rFonts w:cstheme="minorHAnsi"/>
              </w:rPr>
              <w:t xml:space="preserve"> (z przygotowaniem i złożeniem wniosku do urzędu)</w:t>
            </w:r>
          </w:p>
        </w:tc>
        <w:tc>
          <w:tcPr>
            <w:tcW w:w="3118" w:type="dxa"/>
          </w:tcPr>
          <w:p w14:paraId="15E062DF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3F56FDAA" w14:textId="0A8B1CE6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649A4AE3" w14:textId="77777777" w:rsidTr="006B40B3">
        <w:tc>
          <w:tcPr>
            <w:tcW w:w="562" w:type="dxa"/>
            <w:vAlign w:val="center"/>
          </w:tcPr>
          <w:p w14:paraId="60D07BBC" w14:textId="0D8025BC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6526" w:type="dxa"/>
            <w:vAlign w:val="center"/>
          </w:tcPr>
          <w:p w14:paraId="3927B8E2" w14:textId="560617F4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Zgłoszenie wzoru użytkowego</w:t>
            </w:r>
          </w:p>
        </w:tc>
        <w:tc>
          <w:tcPr>
            <w:tcW w:w="3118" w:type="dxa"/>
            <w:vAlign w:val="center"/>
          </w:tcPr>
          <w:p w14:paraId="49A724E1" w14:textId="77777777" w:rsidR="008B05AB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43EC8AEC" w14:textId="5C3DCB25" w:rsidR="00D40B7A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0D1CB064" w14:textId="77777777" w:rsidTr="006B40B3">
        <w:tc>
          <w:tcPr>
            <w:tcW w:w="562" w:type="dxa"/>
            <w:vAlign w:val="center"/>
          </w:tcPr>
          <w:p w14:paraId="0E37C76D" w14:textId="0834683B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526" w:type="dxa"/>
            <w:vAlign w:val="center"/>
          </w:tcPr>
          <w:p w14:paraId="6CD2763E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Doradztwo w zakresie:</w:t>
            </w:r>
          </w:p>
          <w:p w14:paraId="1986C831" w14:textId="5B7A8C92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analizy projektów wynalazczych pod kątem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możliwej ochrony,</w:t>
            </w:r>
          </w:p>
          <w:p w14:paraId="62BAB29A" w14:textId="6AA167CF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− </w:t>
            </w:r>
            <w:r w:rsidR="0050074E">
              <w:rPr>
                <w:rFonts w:cstheme="minorHAnsi"/>
              </w:rPr>
              <w:t>opracowywania i negocjowania</w:t>
            </w:r>
            <w:r w:rsidR="00167807">
              <w:rPr>
                <w:rFonts w:cstheme="minorHAnsi"/>
              </w:rPr>
              <w:t xml:space="preserve"> umów</w:t>
            </w:r>
            <w:r w:rsidR="0050074E">
              <w:rPr>
                <w:rFonts w:cstheme="minorHAnsi"/>
              </w:rPr>
              <w:t xml:space="preserve"> z zakresu prawa własności przemysłowej</w:t>
            </w:r>
            <w:r w:rsidRPr="008B05AB">
              <w:rPr>
                <w:rFonts w:cstheme="minorHAnsi"/>
              </w:rPr>
              <w:t>,</w:t>
            </w:r>
          </w:p>
          <w:p w14:paraId="7546019A" w14:textId="5F9FE009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projektów wynalazczych pod kątem ochrony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patentowej,</w:t>
            </w:r>
          </w:p>
          <w:p w14:paraId="519AAA6A" w14:textId="594AFD13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pomocy w zawieraniu umów z twórcami,</w:t>
            </w:r>
          </w:p>
          <w:p w14:paraId="3588977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przygotowywania planów badań patentowych</w:t>
            </w:r>
          </w:p>
          <w:p w14:paraId="72D3071F" w14:textId="6CD263F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wyników badań prowadzonych przez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 xml:space="preserve">pracowników </w:t>
            </w:r>
            <w:r>
              <w:rPr>
                <w:rFonts w:cstheme="minorHAnsi"/>
              </w:rPr>
              <w:t>Instytutu</w:t>
            </w:r>
          </w:p>
          <w:p w14:paraId="24C52F44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praw IP dla pracowników Instytutu</w:t>
            </w:r>
          </w:p>
          <w:p w14:paraId="0CEA55BA" w14:textId="3BB3190C" w:rsidR="00D40B7A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strategii ochrony praw IP Instytutu</w:t>
            </w:r>
          </w:p>
        </w:tc>
        <w:tc>
          <w:tcPr>
            <w:tcW w:w="3118" w:type="dxa"/>
            <w:vAlign w:val="center"/>
          </w:tcPr>
          <w:p w14:paraId="4BA68A2D" w14:textId="77777777" w:rsidR="00D40B7A" w:rsidRDefault="008B05AB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2A974767" w14:textId="77777777" w:rsidR="008B05AB" w:rsidRDefault="008B05AB" w:rsidP="00EB3F78">
            <w:pPr>
              <w:rPr>
                <w:rFonts w:cstheme="minorHAnsi"/>
              </w:rPr>
            </w:pPr>
          </w:p>
          <w:p w14:paraId="14E76BBB" w14:textId="1C6D4F11" w:rsidR="008B05AB" w:rsidRDefault="008B05AB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</w:p>
        </w:tc>
      </w:tr>
      <w:tr w:rsidR="00D40B7A" w14:paraId="38AC3180" w14:textId="77777777" w:rsidTr="006B40B3">
        <w:tc>
          <w:tcPr>
            <w:tcW w:w="562" w:type="dxa"/>
            <w:vAlign w:val="center"/>
          </w:tcPr>
          <w:p w14:paraId="20A79C6F" w14:textId="5D8F451F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6526" w:type="dxa"/>
            <w:vAlign w:val="center"/>
          </w:tcPr>
          <w:p w14:paraId="71AD4BA9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Czynności organizacyjno-administracyjne związane z:</w:t>
            </w:r>
          </w:p>
          <w:p w14:paraId="203C92C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obsługą spraw własności przemysłowej w Instytucie.</w:t>
            </w:r>
          </w:p>
          <w:p w14:paraId="4ED6891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sprawozdawczością (POLON, GUS)</w:t>
            </w:r>
          </w:p>
          <w:p w14:paraId="59291954" w14:textId="261B6B6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- archiwizacją akt</w:t>
            </w:r>
          </w:p>
        </w:tc>
        <w:tc>
          <w:tcPr>
            <w:tcW w:w="3118" w:type="dxa"/>
            <w:vAlign w:val="center"/>
          </w:tcPr>
          <w:p w14:paraId="23EEA0F7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14A1E5F9" w14:textId="77777777" w:rsidR="008B05AB" w:rsidRDefault="008B05AB" w:rsidP="008B05AB">
            <w:pPr>
              <w:rPr>
                <w:rFonts w:cstheme="minorHAnsi"/>
              </w:rPr>
            </w:pPr>
          </w:p>
          <w:p w14:paraId="18BD7E8A" w14:textId="220032D6" w:rsidR="00D40B7A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</w:p>
        </w:tc>
      </w:tr>
      <w:tr w:rsidR="008B05AB" w14:paraId="753F75C3" w14:textId="77777777" w:rsidTr="008C3F36">
        <w:tc>
          <w:tcPr>
            <w:tcW w:w="562" w:type="dxa"/>
            <w:vAlign w:val="center"/>
          </w:tcPr>
          <w:p w14:paraId="40F3CC46" w14:textId="5C5B9E1C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6526" w:type="dxa"/>
            <w:vAlign w:val="center"/>
          </w:tcPr>
          <w:p w14:paraId="3268B28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Nadzór nad terminami i opłatami w sprawach praw</w:t>
            </w:r>
          </w:p>
          <w:p w14:paraId="63F06BED" w14:textId="7594AD8A" w:rsid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własności przemysłowej Instytutu</w:t>
            </w:r>
          </w:p>
        </w:tc>
        <w:tc>
          <w:tcPr>
            <w:tcW w:w="3118" w:type="dxa"/>
          </w:tcPr>
          <w:p w14:paraId="4AC64C93" w14:textId="77777777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9693C6A" w14:textId="3E5D77F8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  <w:r>
              <w:rPr>
                <w:rFonts w:cstheme="minorHAnsi"/>
              </w:rPr>
              <w:t xml:space="preserve"> za jeden nadzór/termin w sprawie</w:t>
            </w:r>
          </w:p>
        </w:tc>
      </w:tr>
      <w:tr w:rsidR="008B05AB" w14:paraId="1BA9DAF2" w14:textId="77777777" w:rsidTr="004419B5">
        <w:tc>
          <w:tcPr>
            <w:tcW w:w="562" w:type="dxa"/>
            <w:vAlign w:val="center"/>
          </w:tcPr>
          <w:p w14:paraId="1DED5C20" w14:textId="622B9D33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6526" w:type="dxa"/>
            <w:vAlign w:val="center"/>
          </w:tcPr>
          <w:p w14:paraId="7EBB6BA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Konsultacje i współpraca z twórcami w zakresie:</w:t>
            </w:r>
          </w:p>
          <w:p w14:paraId="3C0EDF57" w14:textId="6CFBA4C5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przygotowania i uzupełniania dokumentacji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zgłoszeniowej,</w:t>
            </w:r>
          </w:p>
          <w:p w14:paraId="4D95FFF3" w14:textId="7D9B1C8D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opracowania odpowiedzi na zarzuty UPRP w toku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postępowania zgłoszeniowego</w:t>
            </w:r>
          </w:p>
          <w:p w14:paraId="35F3EAA7" w14:textId="2CDBB82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z zakresu prawa własności przemysłowe</w:t>
            </w:r>
            <w:r w:rsidR="0050074E">
              <w:rPr>
                <w:rFonts w:cstheme="minorHAnsi"/>
              </w:rPr>
              <w:t>j</w:t>
            </w:r>
          </w:p>
        </w:tc>
        <w:tc>
          <w:tcPr>
            <w:tcW w:w="3118" w:type="dxa"/>
            <w:vAlign w:val="center"/>
          </w:tcPr>
          <w:p w14:paraId="7D5DA7AD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0CF692F5" w14:textId="77777777" w:rsidR="008B05AB" w:rsidRDefault="008B05AB" w:rsidP="008B05AB">
            <w:pPr>
              <w:rPr>
                <w:rFonts w:cstheme="minorHAnsi"/>
              </w:rPr>
            </w:pPr>
          </w:p>
          <w:p w14:paraId="697DD6E4" w14:textId="6A708543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</w:p>
        </w:tc>
      </w:tr>
      <w:tr w:rsidR="008B05AB" w14:paraId="439ACFA8" w14:textId="77777777" w:rsidTr="002B1238">
        <w:tc>
          <w:tcPr>
            <w:tcW w:w="562" w:type="dxa"/>
            <w:vAlign w:val="center"/>
          </w:tcPr>
          <w:p w14:paraId="5F624D62" w14:textId="3E3A906F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6526" w:type="dxa"/>
            <w:vAlign w:val="center"/>
          </w:tcPr>
          <w:p w14:paraId="4E73C9A5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Sprawy sporne:</w:t>
            </w:r>
          </w:p>
          <w:p w14:paraId="4B0BA3F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UPRP,</w:t>
            </w:r>
          </w:p>
          <w:p w14:paraId="189D4F1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sądami administracyjnymi i powszechnymi,</w:t>
            </w:r>
          </w:p>
          <w:p w14:paraId="593F8057" w14:textId="3229135B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sporządzanie i występowanie z pismami</w:t>
            </w:r>
            <w:r>
              <w:rPr>
                <w:rFonts w:cstheme="minorHAnsi"/>
              </w:rPr>
              <w:t xml:space="preserve"> ostrzegawczymi</w:t>
            </w:r>
          </w:p>
        </w:tc>
        <w:tc>
          <w:tcPr>
            <w:tcW w:w="3118" w:type="dxa"/>
            <w:vAlign w:val="center"/>
          </w:tcPr>
          <w:p w14:paraId="34B08DFF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4443312" w14:textId="77777777" w:rsidR="008B05AB" w:rsidRDefault="008B05AB" w:rsidP="008B05AB">
            <w:pPr>
              <w:rPr>
                <w:rFonts w:cstheme="minorHAnsi"/>
              </w:rPr>
            </w:pPr>
          </w:p>
          <w:p w14:paraId="742B7E57" w14:textId="776825A8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</w:p>
        </w:tc>
      </w:tr>
      <w:tr w:rsidR="00167807" w14:paraId="351FA2E5" w14:textId="77777777" w:rsidTr="00B97B9E">
        <w:tc>
          <w:tcPr>
            <w:tcW w:w="562" w:type="dxa"/>
            <w:vAlign w:val="center"/>
          </w:tcPr>
          <w:p w14:paraId="7D862115" w14:textId="5C234873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6526" w:type="dxa"/>
            <w:vAlign w:val="center"/>
          </w:tcPr>
          <w:p w14:paraId="483292F8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wzoru przemysłowego:</w:t>
            </w:r>
          </w:p>
          <w:p w14:paraId="573D156D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UPRP,</w:t>
            </w:r>
          </w:p>
          <w:p w14:paraId="5D6BCE90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EUIPO,</w:t>
            </w:r>
          </w:p>
          <w:p w14:paraId="1DB02861" w14:textId="0BE04D99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Międzynarodowe</w:t>
            </w:r>
          </w:p>
        </w:tc>
        <w:tc>
          <w:tcPr>
            <w:tcW w:w="3118" w:type="dxa"/>
            <w:vAlign w:val="center"/>
          </w:tcPr>
          <w:p w14:paraId="485165F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 xml:space="preserve">Ryczałt </w:t>
            </w:r>
          </w:p>
          <w:p w14:paraId="0A09CD8F" w14:textId="75C20CF8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9317C25" w14:textId="77777777" w:rsidTr="00B97B9E">
        <w:tc>
          <w:tcPr>
            <w:tcW w:w="562" w:type="dxa"/>
            <w:vAlign w:val="center"/>
          </w:tcPr>
          <w:p w14:paraId="75CC904F" w14:textId="07597018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6526" w:type="dxa"/>
            <w:vAlign w:val="center"/>
          </w:tcPr>
          <w:p w14:paraId="43C92374" w14:textId="1E5D3643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dodatkową odmianę</w:t>
            </w:r>
          </w:p>
        </w:tc>
        <w:tc>
          <w:tcPr>
            <w:tcW w:w="3118" w:type="dxa"/>
            <w:vAlign w:val="center"/>
          </w:tcPr>
          <w:p w14:paraId="11D1FF56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662039E" w14:textId="403D308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167807" w14:paraId="3A46C585" w14:textId="77777777" w:rsidTr="00B97B9E">
        <w:tc>
          <w:tcPr>
            <w:tcW w:w="562" w:type="dxa"/>
            <w:vAlign w:val="center"/>
          </w:tcPr>
          <w:p w14:paraId="19AF9CDC" w14:textId="362B731E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6526" w:type="dxa"/>
            <w:vAlign w:val="center"/>
          </w:tcPr>
          <w:p w14:paraId="155E10F6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znaku towarowego:</w:t>
            </w:r>
          </w:p>
          <w:p w14:paraId="54BD6C4E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 - UPRP,</w:t>
            </w:r>
          </w:p>
          <w:p w14:paraId="01F0DC5C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lastRenderedPageBreak/>
              <w:t xml:space="preserve"> - EUIPO,</w:t>
            </w:r>
          </w:p>
          <w:p w14:paraId="01216F01" w14:textId="522E927C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- M</w:t>
            </w:r>
            <w:r w:rsidRPr="008B05AB">
              <w:rPr>
                <w:rFonts w:cstheme="minorHAnsi"/>
              </w:rPr>
              <w:t>iędzynarodowe</w:t>
            </w:r>
          </w:p>
        </w:tc>
        <w:tc>
          <w:tcPr>
            <w:tcW w:w="3118" w:type="dxa"/>
            <w:vAlign w:val="center"/>
          </w:tcPr>
          <w:p w14:paraId="30788E8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lastRenderedPageBreak/>
              <w:t xml:space="preserve">Ryczałt </w:t>
            </w:r>
          </w:p>
          <w:p w14:paraId="7AAC2CFC" w14:textId="1C011522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73D9C1C" w14:textId="77777777" w:rsidTr="00B97B9E">
        <w:tc>
          <w:tcPr>
            <w:tcW w:w="562" w:type="dxa"/>
            <w:vAlign w:val="center"/>
          </w:tcPr>
          <w:p w14:paraId="5841FB87" w14:textId="68A7D414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6526" w:type="dxa"/>
            <w:vAlign w:val="center"/>
          </w:tcPr>
          <w:p w14:paraId="765B5EDA" w14:textId="3840076D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kolejną klasę</w:t>
            </w:r>
          </w:p>
        </w:tc>
        <w:tc>
          <w:tcPr>
            <w:tcW w:w="3118" w:type="dxa"/>
            <w:vAlign w:val="center"/>
          </w:tcPr>
          <w:p w14:paraId="6DCBCDC4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2A52D838" w14:textId="3EA1D9C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424377" w14:paraId="567B7C1C" w14:textId="77777777" w:rsidTr="00A45F96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83B559" w14:textId="5DA542CA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14:paraId="1ED0FC43" w14:textId="6B35AEB9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Opracowywanie opinii w zakresie własności przemysłowej oraz w związku z ochroną w zakresie zwalczania nieuczciwej konkurencji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D3AC15F" w14:textId="77777777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2190D6F" w14:textId="77777777" w:rsidR="00424377" w:rsidRDefault="00424377" w:rsidP="00424377">
            <w:pPr>
              <w:rPr>
                <w:rFonts w:cstheme="minorHAnsi"/>
              </w:rPr>
            </w:pPr>
          </w:p>
          <w:p w14:paraId="526A6397" w14:textId="462556CE" w:rsidR="00424377" w:rsidRPr="00114873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</w:p>
        </w:tc>
      </w:tr>
      <w:tr w:rsidR="00A45F96" w14:paraId="14EDB63A" w14:textId="77777777" w:rsidTr="00A45F96">
        <w:tc>
          <w:tcPr>
            <w:tcW w:w="7088" w:type="dxa"/>
            <w:gridSpan w:val="2"/>
            <w:shd w:val="clear" w:color="auto" w:fill="D9D9D9" w:themeFill="background1" w:themeFillShade="D9"/>
            <w:vAlign w:val="center"/>
          </w:tcPr>
          <w:p w14:paraId="7A28F270" w14:textId="20F4771C" w:rsidR="00A45F96" w:rsidRPr="00A45F96" w:rsidRDefault="00A45F96" w:rsidP="00A45F96">
            <w:pPr>
              <w:jc w:val="right"/>
              <w:rPr>
                <w:rFonts w:cstheme="minorHAnsi"/>
                <w:b/>
              </w:rPr>
            </w:pPr>
            <w:r w:rsidRPr="00A45F96">
              <w:rPr>
                <w:rFonts w:cstheme="minorHAnsi"/>
                <w:b/>
              </w:rPr>
              <w:t>RAZEM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FE9BC69" w14:textId="5C0E4AC8" w:rsidR="00A45F96" w:rsidRDefault="00A45F96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……………………….PLN</w:t>
            </w:r>
          </w:p>
        </w:tc>
      </w:tr>
    </w:tbl>
    <w:p w14:paraId="190FF680" w14:textId="28657359" w:rsidR="004B5771" w:rsidRDefault="004B5771" w:rsidP="00EB3F78">
      <w:pPr>
        <w:spacing w:after="0" w:line="240" w:lineRule="auto"/>
        <w:rPr>
          <w:rFonts w:cstheme="minorHAnsi"/>
        </w:rPr>
      </w:pPr>
    </w:p>
    <w:p w14:paraId="35977A59" w14:textId="2B57B432" w:rsidR="004B5771" w:rsidRDefault="006B40B3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 cenie oferty nie należy uwzględniać opłat urzędowych.</w:t>
      </w:r>
    </w:p>
    <w:p w14:paraId="3BAA888F" w14:textId="77777777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Umowa zostanie zawarta na okres 12 miesięcy od daty jej zawarcia. </w:t>
      </w:r>
    </w:p>
    <w:p w14:paraId="5EA8BE53" w14:textId="11CF9A05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Wartość umowy za realizowane usługi nie przekroczy w okresie jej trwania kwoty 145 000 złotych brutto, bez opłat urzędowych.</w:t>
      </w:r>
    </w:p>
    <w:p w14:paraId="27E248C6" w14:textId="77777777" w:rsidR="003B0EFC" w:rsidRPr="003B0EFC" w:rsidRDefault="003B0EFC" w:rsidP="003B0EFC">
      <w:pPr>
        <w:spacing w:after="0" w:line="240" w:lineRule="auto"/>
        <w:rPr>
          <w:rFonts w:cstheme="minorHAnsi"/>
          <w:u w:val="single"/>
        </w:rPr>
      </w:pPr>
      <w:r w:rsidRPr="003B0EFC">
        <w:rPr>
          <w:rFonts w:cstheme="minorHAnsi"/>
          <w:u w:val="single"/>
        </w:rPr>
        <w:t>Uwagi dodatkowe:</w:t>
      </w:r>
    </w:p>
    <w:p w14:paraId="5F27C784" w14:textId="4FC1ABF4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W okresie ubiegłych kilkunastu lat przeciętnie było przez Instytut prowadzonych 4-5 zgłoszeń patentowych rocznie.</w:t>
      </w:r>
    </w:p>
    <w:p w14:paraId="5CEF23F3" w14:textId="02D7B171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Konsultacji i porad dotyczących planowanych przez twórców (ale efektywnie nie zarejestrowanych) nowych projektów wynalazczych było ok. 6-8 rocznie.</w:t>
      </w:r>
    </w:p>
    <w:p w14:paraId="645471A7" w14:textId="6587423B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Dozorowanie wnoszenia opłat za ochronę patentową dotyczy kilkunastu (poniżej 20) patentów rocznie.</w:t>
      </w:r>
    </w:p>
    <w:p w14:paraId="63A2F799" w14:textId="0DFA9AB5" w:rsidR="005C2CC7" w:rsidRPr="004B5771" w:rsidRDefault="005C2CC7" w:rsidP="00C33E17">
      <w:pPr>
        <w:spacing w:after="0" w:line="240" w:lineRule="auto"/>
        <w:rPr>
          <w:rFonts w:cstheme="minorHAnsi"/>
        </w:rPr>
      </w:pPr>
      <w:bookmarkStart w:id="0" w:name="_GoBack"/>
      <w:bookmarkEnd w:id="0"/>
    </w:p>
    <w:sectPr w:rsidR="005C2CC7" w:rsidRPr="004B57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83916" w16cex:dateUtc="2022-01-11T16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EE5F62" w16cid:durableId="258839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3063E" w14:textId="77777777" w:rsidR="00153574" w:rsidRDefault="00153574" w:rsidP="004B5771">
      <w:pPr>
        <w:spacing w:after="0" w:line="240" w:lineRule="auto"/>
      </w:pPr>
      <w:r>
        <w:separator/>
      </w:r>
    </w:p>
  </w:endnote>
  <w:endnote w:type="continuationSeparator" w:id="0">
    <w:p w14:paraId="1EDBD814" w14:textId="77777777" w:rsidR="00153574" w:rsidRDefault="00153574" w:rsidP="004B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4133B" w14:textId="77777777" w:rsidR="00153574" w:rsidRDefault="00153574" w:rsidP="004B5771">
      <w:pPr>
        <w:spacing w:after="0" w:line="240" w:lineRule="auto"/>
      </w:pPr>
      <w:r>
        <w:separator/>
      </w:r>
    </w:p>
  </w:footnote>
  <w:footnote w:type="continuationSeparator" w:id="0">
    <w:p w14:paraId="17F307AE" w14:textId="77777777" w:rsidR="00153574" w:rsidRDefault="00153574" w:rsidP="004B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3CBB6" w14:textId="3F7D83CF" w:rsidR="004B5771" w:rsidRPr="004B5771" w:rsidRDefault="004B5771" w:rsidP="004B5771">
    <w:pPr>
      <w:pStyle w:val="Nagwek"/>
      <w:jc w:val="right"/>
      <w:rPr>
        <w:b/>
      </w:rPr>
    </w:pPr>
    <w:r w:rsidRPr="004B5771">
      <w:rPr>
        <w:b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70F6"/>
    <w:multiLevelType w:val="hybridMultilevel"/>
    <w:tmpl w:val="5EBE16A6"/>
    <w:lvl w:ilvl="0" w:tplc="6ED08162">
      <w:start w:val="1"/>
      <w:numFmt w:val="decimal"/>
      <w:lvlText w:val="%1)"/>
      <w:lvlJc w:val="left"/>
      <w:pPr>
        <w:ind w:left="780" w:hanging="420"/>
      </w:pPr>
      <w:rPr>
        <w:rFonts w:ascii="Bookman Old Style" w:eastAsia="Times New Roman" w:hAnsi="Bookman Old Style" w:cs="Times New Roman"/>
      </w:rPr>
    </w:lvl>
    <w:lvl w:ilvl="1" w:tplc="2EBC3C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909D8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0C8"/>
    <w:multiLevelType w:val="hybridMultilevel"/>
    <w:tmpl w:val="4F8AC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D0B91"/>
    <w:multiLevelType w:val="hybridMultilevel"/>
    <w:tmpl w:val="AF5E5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47BB7"/>
    <w:multiLevelType w:val="hybridMultilevel"/>
    <w:tmpl w:val="CF4A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F4C45"/>
    <w:multiLevelType w:val="hybridMultilevel"/>
    <w:tmpl w:val="5E0A1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78EB"/>
    <w:multiLevelType w:val="hybridMultilevel"/>
    <w:tmpl w:val="3D72B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924D8"/>
    <w:multiLevelType w:val="hybridMultilevel"/>
    <w:tmpl w:val="5BA89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DA"/>
    <w:multiLevelType w:val="hybridMultilevel"/>
    <w:tmpl w:val="5BE6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A2BFD"/>
    <w:multiLevelType w:val="hybridMultilevel"/>
    <w:tmpl w:val="6B72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E149B"/>
    <w:multiLevelType w:val="hybridMultilevel"/>
    <w:tmpl w:val="41E8CFCC"/>
    <w:lvl w:ilvl="0" w:tplc="0809000F">
      <w:start w:val="1"/>
      <w:numFmt w:val="decimal"/>
      <w:lvlText w:val="%1."/>
      <w:lvlJc w:val="left"/>
      <w:pPr>
        <w:ind w:left="6031" w:hanging="360"/>
      </w:pPr>
    </w:lvl>
    <w:lvl w:ilvl="1" w:tplc="08090019" w:tentative="1">
      <w:start w:val="1"/>
      <w:numFmt w:val="lowerLetter"/>
      <w:lvlText w:val="%2."/>
      <w:lvlJc w:val="left"/>
      <w:pPr>
        <w:ind w:left="6751" w:hanging="360"/>
      </w:pPr>
    </w:lvl>
    <w:lvl w:ilvl="2" w:tplc="0809001B" w:tentative="1">
      <w:start w:val="1"/>
      <w:numFmt w:val="lowerRoman"/>
      <w:lvlText w:val="%3."/>
      <w:lvlJc w:val="right"/>
      <w:pPr>
        <w:ind w:left="7471" w:hanging="180"/>
      </w:pPr>
    </w:lvl>
    <w:lvl w:ilvl="3" w:tplc="0809000F" w:tentative="1">
      <w:start w:val="1"/>
      <w:numFmt w:val="decimal"/>
      <w:lvlText w:val="%4."/>
      <w:lvlJc w:val="left"/>
      <w:pPr>
        <w:ind w:left="8191" w:hanging="360"/>
      </w:pPr>
    </w:lvl>
    <w:lvl w:ilvl="4" w:tplc="08090019" w:tentative="1">
      <w:start w:val="1"/>
      <w:numFmt w:val="lowerLetter"/>
      <w:lvlText w:val="%5."/>
      <w:lvlJc w:val="left"/>
      <w:pPr>
        <w:ind w:left="8911" w:hanging="360"/>
      </w:pPr>
    </w:lvl>
    <w:lvl w:ilvl="5" w:tplc="0809001B" w:tentative="1">
      <w:start w:val="1"/>
      <w:numFmt w:val="lowerRoman"/>
      <w:lvlText w:val="%6."/>
      <w:lvlJc w:val="right"/>
      <w:pPr>
        <w:ind w:left="9631" w:hanging="180"/>
      </w:pPr>
    </w:lvl>
    <w:lvl w:ilvl="6" w:tplc="0809000F" w:tentative="1">
      <w:start w:val="1"/>
      <w:numFmt w:val="decimal"/>
      <w:lvlText w:val="%7."/>
      <w:lvlJc w:val="left"/>
      <w:pPr>
        <w:ind w:left="10351" w:hanging="360"/>
      </w:pPr>
    </w:lvl>
    <w:lvl w:ilvl="7" w:tplc="08090019" w:tentative="1">
      <w:start w:val="1"/>
      <w:numFmt w:val="lowerLetter"/>
      <w:lvlText w:val="%8."/>
      <w:lvlJc w:val="left"/>
      <w:pPr>
        <w:ind w:left="11071" w:hanging="360"/>
      </w:pPr>
    </w:lvl>
    <w:lvl w:ilvl="8" w:tplc="08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0" w15:restartNumberingAfterBreak="0">
    <w:nsid w:val="5D3050DF"/>
    <w:multiLevelType w:val="hybridMultilevel"/>
    <w:tmpl w:val="8912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C1704"/>
    <w:multiLevelType w:val="hybridMultilevel"/>
    <w:tmpl w:val="31525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F2660"/>
    <w:multiLevelType w:val="hybridMultilevel"/>
    <w:tmpl w:val="F27AD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9"/>
  </w:num>
  <w:num w:numId="5">
    <w:abstractNumId w:val="5"/>
  </w:num>
  <w:num w:numId="6">
    <w:abstractNumId w:val="1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2tDQxMLc0MjQ0NjNT0lEKTi0uzszPAykwqgUAUK05tCwAAAA="/>
  </w:docVars>
  <w:rsids>
    <w:rsidRoot w:val="00056539"/>
    <w:rsid w:val="00056539"/>
    <w:rsid w:val="00153574"/>
    <w:rsid w:val="00167807"/>
    <w:rsid w:val="001A7D9C"/>
    <w:rsid w:val="002A5B22"/>
    <w:rsid w:val="002F2F36"/>
    <w:rsid w:val="00317327"/>
    <w:rsid w:val="003223D2"/>
    <w:rsid w:val="00323F8B"/>
    <w:rsid w:val="00395746"/>
    <w:rsid w:val="003B0EFC"/>
    <w:rsid w:val="003B1A89"/>
    <w:rsid w:val="003B705C"/>
    <w:rsid w:val="00424377"/>
    <w:rsid w:val="00446990"/>
    <w:rsid w:val="004B5771"/>
    <w:rsid w:val="004F0967"/>
    <w:rsid w:val="0050074E"/>
    <w:rsid w:val="005C2CC7"/>
    <w:rsid w:val="00631241"/>
    <w:rsid w:val="00634D9D"/>
    <w:rsid w:val="006B40B3"/>
    <w:rsid w:val="006E66A3"/>
    <w:rsid w:val="007629A0"/>
    <w:rsid w:val="007B09B2"/>
    <w:rsid w:val="007F5B46"/>
    <w:rsid w:val="008B05AB"/>
    <w:rsid w:val="009A5DA6"/>
    <w:rsid w:val="009B33E5"/>
    <w:rsid w:val="00A45F96"/>
    <w:rsid w:val="00AA44BA"/>
    <w:rsid w:val="00AA47A6"/>
    <w:rsid w:val="00AA4BBA"/>
    <w:rsid w:val="00AF0002"/>
    <w:rsid w:val="00BF10E1"/>
    <w:rsid w:val="00BF5914"/>
    <w:rsid w:val="00C33E17"/>
    <w:rsid w:val="00C85F87"/>
    <w:rsid w:val="00C925E9"/>
    <w:rsid w:val="00D40B7A"/>
    <w:rsid w:val="00DC701D"/>
    <w:rsid w:val="00DC79B2"/>
    <w:rsid w:val="00DF6CC6"/>
    <w:rsid w:val="00EB3F78"/>
    <w:rsid w:val="00EE77A4"/>
    <w:rsid w:val="00F1208F"/>
    <w:rsid w:val="00F5615C"/>
    <w:rsid w:val="00F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EE4D"/>
  <w15:docId w15:val="{7227CC1C-F256-4DC0-8066-54B6C48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B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71"/>
  </w:style>
  <w:style w:type="paragraph" w:styleId="Stopka">
    <w:name w:val="footer"/>
    <w:basedOn w:val="Normalny"/>
    <w:link w:val="Stopka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71"/>
  </w:style>
  <w:style w:type="table" w:styleId="Tabela-Siatka">
    <w:name w:val="Table Grid"/>
    <w:basedOn w:val="Standardowy"/>
    <w:uiPriority w:val="59"/>
    <w:rsid w:val="00D4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40B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0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0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Stachowski</dc:creator>
  <cp:lastModifiedBy>Anica Knera</cp:lastModifiedBy>
  <cp:revision>2</cp:revision>
  <dcterms:created xsi:type="dcterms:W3CDTF">2022-01-12T12:34:00Z</dcterms:created>
  <dcterms:modified xsi:type="dcterms:W3CDTF">2022-01-12T12:34:00Z</dcterms:modified>
</cp:coreProperties>
</file>