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F247D" w14:textId="77777777" w:rsidR="0051066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1CD9AEFF" wp14:editId="661B2608">
            <wp:simplePos x="0" y="0"/>
            <wp:positionH relativeFrom="column">
              <wp:posOffset>-285749</wp:posOffset>
            </wp:positionH>
            <wp:positionV relativeFrom="paragraph">
              <wp:posOffset>238125</wp:posOffset>
            </wp:positionV>
            <wp:extent cx="2600325" cy="811530"/>
            <wp:effectExtent l="0" t="0" r="0" b="0"/>
            <wp:wrapTopAndBottom distT="0" distB="0"/>
            <wp:docPr id="2" name="image1.jpg" descr="Obraz zawierający tekst, Czcionka, logo, Grafika&#10;&#10;Zawartość wygenerowana przez AI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Obraz zawierający tekst, Czcionka, logo, Grafika&#10;&#10;Zawartość wygenerowana przez AI może być niepoprawna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14778EB" w14:textId="77777777" w:rsidR="00510667" w:rsidRDefault="00510667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1003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1463"/>
        <w:gridCol w:w="1744"/>
        <w:gridCol w:w="67"/>
        <w:gridCol w:w="1349"/>
        <w:gridCol w:w="222"/>
        <w:gridCol w:w="1702"/>
        <w:gridCol w:w="385"/>
        <w:gridCol w:w="492"/>
        <w:gridCol w:w="940"/>
        <w:gridCol w:w="57"/>
        <w:gridCol w:w="1270"/>
        <w:gridCol w:w="96"/>
        <w:gridCol w:w="8"/>
      </w:tblGrid>
      <w:tr w:rsidR="00510667" w14:paraId="1AFF4348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</w:tcPr>
          <w:p w14:paraId="3DF6C157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00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3E63F01C" w14:textId="77777777" w:rsidR="00510667" w:rsidRDefault="00000000">
            <w:pPr>
              <w:pStyle w:val="Nagwek2"/>
              <w:spacing w:after="0" w:line="276" w:lineRule="auto"/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510667" w14:paraId="1E6F2354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</w:tcPr>
          <w:p w14:paraId="4DC4E437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mallCaps/>
              </w:rPr>
            </w:pPr>
          </w:p>
        </w:tc>
        <w:tc>
          <w:tcPr>
            <w:tcW w:w="9900" w:type="dxa"/>
            <w:gridSpan w:val="11"/>
            <w:shd w:val="clear" w:color="auto" w:fill="FFFFFF"/>
            <w:vAlign w:val="center"/>
          </w:tcPr>
          <w:p w14:paraId="157401A0" w14:textId="77777777" w:rsidR="00510667" w:rsidRDefault="00000000">
            <w:pPr>
              <w:pStyle w:val="Nagwek2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</w:tr>
      <w:tr w:rsidR="00510667" w14:paraId="41D58C31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</w:tcPr>
          <w:p w14:paraId="28AB1CF1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gridSpan w:val="2"/>
            <w:vAlign w:val="center"/>
          </w:tcPr>
          <w:p w14:paraId="478211B5" w14:textId="77777777" w:rsidR="00510667" w:rsidRDefault="00000000">
            <w:pPr>
              <w:pStyle w:val="Nagwek3"/>
              <w:spacing w:before="0" w:after="0" w:line="276" w:lineRule="auto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6623" w:type="dxa"/>
            <w:gridSpan w:val="9"/>
            <w:vAlign w:val="center"/>
          </w:tcPr>
          <w:p w14:paraId="63EE2385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Wykład, Ćwiczenia</w:t>
            </w:r>
          </w:p>
        </w:tc>
      </w:tr>
      <w:tr w:rsidR="00510667" w14:paraId="56867AA9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</w:tcPr>
          <w:p w14:paraId="38701CB4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0" w:type="dxa"/>
            <w:gridSpan w:val="11"/>
            <w:vAlign w:val="center"/>
          </w:tcPr>
          <w:p w14:paraId="4009E441" w14:textId="77777777" w:rsidR="00510667" w:rsidRDefault="00000000">
            <w:pPr>
              <w:pStyle w:val="Nagwek1"/>
              <w:spacing w:line="276" w:lineRule="auto"/>
              <w:ind w:left="0"/>
              <w:jc w:val="left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sz w:val="22"/>
                <w:szCs w:val="22"/>
              </w:rPr>
              <w:t xml:space="preserve"> studia jednolite magisterskie (7 PRK)</w:t>
            </w:r>
          </w:p>
        </w:tc>
      </w:tr>
      <w:tr w:rsidR="00510667" w14:paraId="28DF8E08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</w:tcPr>
          <w:p w14:paraId="001C9890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mallCaps/>
              </w:rPr>
            </w:pPr>
          </w:p>
        </w:tc>
        <w:tc>
          <w:tcPr>
            <w:tcW w:w="9900" w:type="dxa"/>
            <w:gridSpan w:val="11"/>
            <w:vAlign w:val="center"/>
          </w:tcPr>
          <w:p w14:paraId="641586C1" w14:textId="77777777" w:rsidR="00510667" w:rsidRDefault="00000000">
            <w:pPr>
              <w:pStyle w:val="Nagwek2"/>
              <w:spacing w:after="0" w:line="276" w:lineRule="auto"/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510667" w14:paraId="3ACA103E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</w:tcPr>
          <w:p w14:paraId="23588AB2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mallCaps/>
              </w:rPr>
            </w:pPr>
          </w:p>
        </w:tc>
        <w:tc>
          <w:tcPr>
            <w:tcW w:w="9900" w:type="dxa"/>
            <w:gridSpan w:val="11"/>
            <w:tcBorders>
              <w:bottom w:val="single" w:sz="4" w:space="0" w:color="000000"/>
            </w:tcBorders>
            <w:vAlign w:val="center"/>
          </w:tcPr>
          <w:p w14:paraId="16CD9493" w14:textId="77777777" w:rsidR="00510667" w:rsidRDefault="00000000">
            <w:pPr>
              <w:pStyle w:val="Nagwek2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</w:p>
          <w:p w14:paraId="67C990EF" w14:textId="77777777" w:rsidR="00510667" w:rsidRDefault="00000000">
            <w:pPr>
              <w:pStyle w:val="Nagwek2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Wydział Psychologii </w:t>
            </w:r>
          </w:p>
        </w:tc>
      </w:tr>
      <w:tr w:rsidR="00510667" w14:paraId="0FEC2B65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</w:tcPr>
          <w:p w14:paraId="74DDF82E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0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286FEDE" w14:textId="77777777" w:rsidR="00510667" w:rsidRDefault="00000000">
            <w:pPr>
              <w:pStyle w:val="Nagwek2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przedmiotu kształcenia: Psychologia rozwoju człowieka w cyklu życia</w:t>
            </w:r>
          </w:p>
        </w:tc>
      </w:tr>
      <w:tr w:rsidR="00510667" w14:paraId="048A4636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</w:tcPr>
          <w:p w14:paraId="724983A1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0" w:type="dxa"/>
            <w:gridSpan w:val="11"/>
            <w:vAlign w:val="center"/>
          </w:tcPr>
          <w:p w14:paraId="094BA257" w14:textId="77777777" w:rsidR="0051066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359F97FB" w14:textId="77777777" w:rsidR="0051066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Wykład:</w:t>
            </w:r>
          </w:p>
          <w:p w14:paraId="469650C0" w14:textId="77777777" w:rsidR="0051066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Pogłębienie rozumienia współczesnych koncepcji i modeli rozwoju człowieka w cyklu życia oraz ich konsekwencji dla opisu i wyjaśniania zmian rozwojowych.</w:t>
            </w:r>
          </w:p>
          <w:p w14:paraId="0FA4A40E" w14:textId="77777777" w:rsidR="0051066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Krytyczna analiza mechanizmów i uwarunkowań rozwoju (biologicznych, rodzinnych, środowiskowych, kulturowych i instytucjonalnych) z uwzględnieniem interakcji czynników i złożoności zjawisk.</w:t>
            </w:r>
          </w:p>
          <w:p w14:paraId="3A365972" w14:textId="77777777" w:rsidR="0051066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Integracja wiedzy teoretycznej i wyników badań empirycznych w celu interpretowania normatywnych i nienormatywnych trajektorii rozwoju oraz kryzysów rozwojowych w perspektywie całego życia.</w:t>
            </w:r>
          </w:p>
          <w:p w14:paraId="52123245" w14:textId="77777777" w:rsidR="0051066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1F1F6253" w14:textId="77777777" w:rsidR="0051066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Rozwijanie umiejętności analizy i interpretacji danych/opisów przypadków dotyczących funkcjonowania człowieka na kolejnych etapach życia z odwołaniem do teorii rozwoju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  <w:p w14:paraId="120BDB27" w14:textId="77777777" w:rsidR="0051066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Doskonalenie doboru i krytycznej oceny metod badawczych stosowanych w psychologii rozwoju (w tym ograniczeń, trafności i rzetelności) w odniesieniu do problemów rozwojowych.</w:t>
            </w:r>
          </w:p>
          <w:p w14:paraId="6BE32834" w14:textId="77777777" w:rsidR="0051066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Projektowanie (na poziomie koncepcyjnym) adekwatnych działań wspierających rozwój i profilaktykę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ryzyk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rozwojowych dla dzieci, młodzieży i dorosłych – z uzasadnieniem w literaturze i standardach etycznych.</w:t>
            </w:r>
          </w:p>
        </w:tc>
      </w:tr>
      <w:tr w:rsidR="00510667" w14:paraId="51942215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</w:tcPr>
          <w:p w14:paraId="47B427B6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00" w:type="dxa"/>
            <w:gridSpan w:val="11"/>
            <w:vAlign w:val="center"/>
          </w:tcPr>
          <w:p w14:paraId="65643D64" w14:textId="77777777" w:rsidR="0051066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</w:t>
            </w:r>
          </w:p>
        </w:tc>
      </w:tr>
      <w:tr w:rsidR="00510667" w14:paraId="62C5CDED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</w:tcPr>
          <w:p w14:paraId="3AEC6A07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00" w:type="dxa"/>
            <w:gridSpan w:val="11"/>
            <w:vAlign w:val="center"/>
          </w:tcPr>
          <w:p w14:paraId="1AAC65B0" w14:textId="77777777" w:rsidR="0051066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Student ma wiedzę z zakresu psychologii ogólnej</w:t>
            </w:r>
          </w:p>
        </w:tc>
      </w:tr>
      <w:tr w:rsidR="00510667" w14:paraId="1F14BB6A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</w:tcPr>
          <w:p w14:paraId="5979F7C1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00" w:type="dxa"/>
            <w:gridSpan w:val="11"/>
            <w:vAlign w:val="center"/>
          </w:tcPr>
          <w:p w14:paraId="37228E37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43B6AB6C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Mk1</w:t>
            </w:r>
            <w:r>
              <w:rPr>
                <w:rFonts w:ascii="Times New Roman" w:eastAsia="Times New Roman" w:hAnsi="Times New Roman" w:cs="Times New Roman"/>
              </w:rPr>
              <w:t xml:space="preserve"> Wykłady (prezentacje multimedialne, materiały wizualne: schematy modeli/teorii rozwoju, krótkie materiały wideo ilustrujące zjawiska rozwojowe, materiały dydaktyczne udostępniane na platformie e-learningowej)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</w:rPr>
              <w:t>Dyskusja dydaktyczna moderowana (studia przypadków, pytania problemowe, fragmenty artykułów naukowych do krytycznej analizy i argumentacji, dyskusje/zadania problemowe realizowane z wykorzystaniem platformy e-learningowej)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Mk3</w:t>
            </w:r>
            <w:r>
              <w:rPr>
                <w:rFonts w:ascii="Times New Roman" w:eastAsia="Times New Roman" w:hAnsi="Times New Roman" w:cs="Times New Roman"/>
              </w:rPr>
              <w:t xml:space="preserve"> Analiza literatury przedmiotu (monografie, artykuły recenzowane, zasoby biblioteczne online/bazy publikacji, rozdziały podręczników wskazane przez prowadzącego, materiały i instrukcje do pracy własnej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udostępniane na platformie e-learningowej)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Mk4 </w:t>
            </w:r>
            <w:r>
              <w:rPr>
                <w:rFonts w:ascii="Times New Roman" w:eastAsia="Times New Roman" w:hAnsi="Times New Roman" w:cs="Times New Roman"/>
              </w:rPr>
              <w:t>Analiza przypadków (opisy przypadków kliniczno-rozwojowych, karty analizy przypadku, materiały narracyjne/wywiady rozwojowe – w zakresie dydaktycznym, zadania analityczne przekazywane i rozliczane z wykorzystaniem platformy e-learningowej)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Mk5</w:t>
            </w:r>
            <w:r>
              <w:rPr>
                <w:rFonts w:ascii="Times New Roman" w:eastAsia="Times New Roman" w:hAnsi="Times New Roman" w:cs="Times New Roman"/>
              </w:rPr>
              <w:t xml:space="preserve"> Konsultacje (platforma e-learning/komunikator, materiały i instrukcje do zadań, kryteria oceny projektu/prezentacji udostępnione studentom)</w:t>
            </w:r>
          </w:p>
          <w:p w14:paraId="51DB2719" w14:textId="77777777" w:rsidR="00510667" w:rsidRDefault="0051066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5F77D441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</w:t>
            </w:r>
          </w:p>
          <w:p w14:paraId="1316AA37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Pd1</w:t>
            </w:r>
            <w:r>
              <w:rPr>
                <w:rFonts w:ascii="Times New Roman" w:eastAsia="Times New Roman" w:hAnsi="Times New Roman" w:cs="Times New Roman"/>
              </w:rPr>
              <w:t xml:space="preserve"> Prezentacje multimedialne i materiały wizualne (slajdy, infografiki, mapy pojęć, schematy porównawcze teorii rozwoju i etapów cyklu życia, materiały udostępniane na platformie e-learningowej)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Pd2</w:t>
            </w:r>
            <w:r>
              <w:rPr>
                <w:rFonts w:ascii="Times New Roman" w:eastAsia="Times New Roman" w:hAnsi="Times New Roman" w:cs="Times New Roman"/>
              </w:rPr>
              <w:t xml:space="preserve"> Zestaw studiów przypadków i kart pracy do analizy rozwoju (opisy sytuacji rozwojowych na różnych etapach życia, arkusze do wnioskowania i interpretacji czynników ryzyka/ochronnych, zadania/asynchroniczne aktywności na platformie e-learningowej)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Pd3</w:t>
            </w:r>
            <w:r>
              <w:rPr>
                <w:rFonts w:ascii="Times New Roman" w:eastAsia="Times New Roman" w:hAnsi="Times New Roman" w:cs="Times New Roman"/>
              </w:rPr>
              <w:t xml:space="preserve"> Literatura naukowa (druk i/lub dostęp cyfrowy) oraz źródła do krytycznej analizy (artykuły recenzowane, monografie, fragmenty narzędzi/metryk i opisów metod badawczych do oceny trafności, rzetelności i ograniczeń interpretacyjnych, elektroniczne zasoby/linki udostępniane na platformie e-learningowej)</w:t>
            </w:r>
          </w:p>
          <w:p w14:paraId="678CC955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Pd4 </w:t>
            </w:r>
            <w:r>
              <w:rPr>
                <w:rFonts w:ascii="Times New Roman" w:eastAsia="Times New Roman" w:hAnsi="Times New Roman" w:cs="Times New Roman"/>
              </w:rPr>
              <w:t>Platforma e-learningowa (udostępnianie materiałów dydaktycznych, instrukcji do zadań, komunikacja ze studentami, aktywności asynchroniczne, quizy/pytania kontrolne, przekazywanie informacji organizacyjnych)</w:t>
            </w:r>
          </w:p>
        </w:tc>
      </w:tr>
      <w:tr w:rsidR="00510667" w14:paraId="51925513" w14:textId="77777777">
        <w:trPr>
          <w:gridAfter w:val="2"/>
          <w:wAfter w:w="104" w:type="dxa"/>
          <w:trHeight w:val="273"/>
          <w:jc w:val="center"/>
        </w:trPr>
        <w:tc>
          <w:tcPr>
            <w:tcW w:w="26" w:type="dxa"/>
          </w:tcPr>
          <w:p w14:paraId="79669CCF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0" w:type="dxa"/>
            <w:gridSpan w:val="11"/>
            <w:shd w:val="clear" w:color="auto" w:fill="DBE5F1"/>
            <w:vAlign w:val="center"/>
          </w:tcPr>
          <w:p w14:paraId="709AA017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Program kształcenia (treści nauczania)</w:t>
            </w:r>
          </w:p>
          <w:p w14:paraId="76FC8BF6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510667" w14:paraId="65F350A7" w14:textId="77777777">
        <w:trPr>
          <w:gridAfter w:val="2"/>
          <w:wAfter w:w="104" w:type="dxa"/>
          <w:trHeight w:val="2402"/>
          <w:jc w:val="center"/>
        </w:trPr>
        <w:tc>
          <w:tcPr>
            <w:tcW w:w="26" w:type="dxa"/>
          </w:tcPr>
          <w:p w14:paraId="75D6ABB7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00" w:type="dxa"/>
            <w:gridSpan w:val="11"/>
          </w:tcPr>
          <w:p w14:paraId="47868850" w14:textId="77777777" w:rsidR="0051066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</w:t>
            </w:r>
          </w:p>
          <w:p w14:paraId="0F283038" w14:textId="77777777" w:rsidR="0051066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Zakres, przedmiot i współczesne paradygmaty psychologii rozwoju człowieka; relacje między podejściami teoretycznymi a praktyką (badania, diagnoza, interwencja).</w:t>
            </w:r>
          </w:p>
          <w:p w14:paraId="13CE8EF1" w14:textId="77777777" w:rsidR="0051066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porównawcza wybranych koncepcji i teorii rozwoju psychicznego człowieka – założenia, mechanizmy zmiany, moc wyjaśniająca, ograniczenia: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a) Teorie psychoanalityczne i modele rozwoju człowieka (interpretacja mechanizmów rozwoju i ich krytyka)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b) Behawiorystyczne teorie rozwoju (rola uczenia się, wzmocnień i środowiska; ograniczenia wyjaśniania)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c) Teorie poznawcze rozwoju (mechanizmy zmian poznawczych; porównanie podejść)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d) Teorie kulturowo-historyczne (rola mediacji kulturowej i języka; konsekwencje dla rozumienia rozwoju)</w:t>
            </w:r>
          </w:p>
          <w:p w14:paraId="764E68AC" w14:textId="77777777" w:rsidR="0051066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Rozwój i zmiana rozwojowa: operacjonalizacja pojęć, typy zmian (ilościowe/jakościowe; normatywne/nienormatywne), modele przebiegu zmian (ciągłość vs skokowość) oraz ich konsekwencje interpretacyjne.</w:t>
            </w:r>
          </w:p>
          <w:p w14:paraId="3912865F" w14:textId="77777777" w:rsidR="0051066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Determinanty i mechanizmy rozwoju: interakcje czynników (biologicznych, środowiskowych, rodzinnych, kulturowych), procesy regulacyjne i adaptacyjne; konsekwencje dla różnic indywidualnych.</w:t>
            </w:r>
          </w:p>
          <w:p w14:paraId="16B9B5F8" w14:textId="77777777" w:rsidR="0051066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Periodyzacja rozwoju psychicznego: krytyczna analiza wybranych systemów periodyzacji; użyteczność i ograniczenia periodyzacji w badaniach i praktyce.</w:t>
            </w:r>
          </w:p>
          <w:p w14:paraId="6D869B32" w14:textId="77777777" w:rsidR="0051066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Konteksty rozwoju – analiza wpływu i współdziałania kontekstów: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a) Kontekst kulturowy: typy kultur wg M. Mead i ich implikacje dla rozwoju (interpretacja porównawcza)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b) Kontekst środowiskowy: fizyczny i społeczny (mechanizmy oddziaływania środowiska)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c) Kontekst rodzinny: postawy rodzicielskie i style wychowawcze (związki z funkcjonowaniem dziecka)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d) Kontekst instytucjonalny: rola edukacji i instytucji społecznych w kształtowaniu kompetencji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ryzyk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e) Kontekst biologiczny: powiązania procesów biologicznych z rozwojem poznawczym, emocjonalnym i społecznym</w:t>
            </w:r>
          </w:p>
          <w:p w14:paraId="5FFCBE87" w14:textId="77777777" w:rsidR="0051066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Koncepcja zadań rozwojowych (R. J.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Havighurst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 i kryzysy rozwojowe: analiza warunków realizacji zadań, ryzyka i konsekwencje niepowodzeń rozwojowych.</w:t>
            </w:r>
          </w:p>
          <w:p w14:paraId="7E263A80" w14:textId="77777777" w:rsidR="0051066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Kształtowanie właściwości psychicznych we wczesnym dzieciństwie – interpretacja w świetle teorii i danych empirycznych: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a) styl przywiązania – uwarunkowania i konsekwencje rozwojowe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b) więź emocjonalna i kształtowanie „Ja” (autonomia, sprawstwo)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c) rozwój samooceny i poczucia własnej wartości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d) teoria umysłu – znaczenie dla rozwoju społecznego i emocjonalnego</w:t>
            </w:r>
          </w:p>
          <w:p w14:paraId="1B9F2B33" w14:textId="77777777" w:rsidR="0051066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Warunki realizacji kluczowych potrzeb psychicznych: autonomia, kompetencja, więź; konsekwencje deprywacji i nadmiernej kontroli dla trajektorii rozwoju.</w:t>
            </w:r>
          </w:p>
          <w:p w14:paraId="4449102E" w14:textId="640F2B1C" w:rsidR="0051066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Rozwój funkcji psychicznych – integracja obszarów i krytyczna interpretacja modeli: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a) rozwój procesów poznawczych i przetwarzania informacji (w tym uwarunkowania sensoryczne)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b) rozwój myślenia – fazy wg J. Piageta i ich krytyczna ocena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c) rozwój moralny – fazy wg J. </w:t>
            </w:r>
            <w:r w:rsidR="004C7D01">
              <w:rPr>
                <w:rFonts w:ascii="Times New Roman" w:eastAsia="Times New Roman" w:hAnsi="Times New Roman" w:cs="Times New Roman"/>
                <w:color w:val="000000"/>
              </w:rPr>
              <w:t>Kohlberga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(oraz konsekwencje dla funkcjonowania społecznego)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d) rozwój emocjonalny – regulacja emocji i jej zmienność rozwojowa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e) rozwój społeczny – kompetencje społeczne, relacje rówieśnicze, role społeczne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f) rozwój tożsamości – ujęcia E.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Eriksona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J.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Marcii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; analiza statusów tożsamości i ich konsekwencji</w:t>
            </w:r>
          </w:p>
          <w:p w14:paraId="41FE8795" w14:textId="77777777" w:rsidR="0051066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Rozwój osobowości w cyklu życia: stabilność i zmiana; mechanizmy adaptacji i rola doświadczeń.</w:t>
            </w:r>
          </w:p>
          <w:p w14:paraId="5CA434EC" w14:textId="77777777" w:rsidR="0051066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Różnice indywidualne w rozwoju psychicznym: czynniki różnicujące, odporność psychiczna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resilience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), czynniki ryzyka i ochronne; interpretacja wieloczynnikowa.</w:t>
            </w:r>
          </w:p>
          <w:p w14:paraId="228F1AC0" w14:textId="77777777" w:rsidR="0051066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Rola uczenia się w rozwoju w różnych teoriach: porównanie ujęć, implikacje dla praktyki (wychowanie, edukacja, wsparcie).</w:t>
            </w:r>
          </w:p>
          <w:p w14:paraId="6702097F" w14:textId="77777777" w:rsidR="0051066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Zaburzenia rozwoju o podłożu organicznym: rozumienie mechanizmów, konsekwencji funkcjonalnych i ograniczeń interpretacji; znaczenie wczesnej identyfikacji i wsparcia.</w:t>
            </w:r>
          </w:p>
          <w:p w14:paraId="54332D7E" w14:textId="77777777" w:rsidR="00510667" w:rsidRDefault="005106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A652B3E" w14:textId="77777777" w:rsidR="0051066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</w:t>
            </w:r>
          </w:p>
          <w:p w14:paraId="2638B5A7" w14:textId="77777777" w:rsidR="0051066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pojęć „zmiana” i „rozwój”: kryteria rozwoju, rozróżnienia (normatywne/nienormatywne), konsekwencje dla interpretacji przypadków i danych.</w:t>
            </w:r>
          </w:p>
          <w:p w14:paraId="689D901F" w14:textId="77777777" w:rsidR="0051066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Metody badań w psychologii rozwoju: dobór metody do problemu badawczego; krytyczna ocena trafności, rzetelności, ograniczeń i uwarunkowań etycznych.</w:t>
            </w:r>
          </w:p>
          <w:p w14:paraId="7FAEE7E6" w14:textId="77777777" w:rsidR="0051066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Rozwój człowieka w cyklu życia – analiza stadiów rozwojowych w ujęciu porównawczym (zmiany w funkcjonowaniu poznawczym, emocjonalnym, społecznym).</w:t>
            </w:r>
          </w:p>
          <w:p w14:paraId="74035F4F" w14:textId="77777777" w:rsidR="0051066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Psychologia prenatalna i perinatalna: czynniki ryzyka i ochronne, konsekwencje dla dalszego rozwoju; interpretacja danych.</w:t>
            </w:r>
          </w:p>
          <w:p w14:paraId="406C442C" w14:textId="77777777" w:rsidR="0051066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Rozwój w wieku niemowlęcym: kluczowe zadania rozwojowe; przywiązanie, regulacja, rozwój poznawczy – analiza przykładów</w:t>
            </w:r>
          </w:p>
          <w:p w14:paraId="14802A2C" w14:textId="77777777" w:rsidR="0051066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Rozwój w wieku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poniemowlęcym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 autonomia, język, rozwój społeczny i emocjonalny – interpretacja zmian jakościowych.</w:t>
            </w:r>
          </w:p>
          <w:p w14:paraId="13DE99D4" w14:textId="77777777" w:rsidR="0051066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Rozwój w okresie średniego dzieciństwa: funkcje poznawcze, kompetencje szkolne, relacje rówieśnicze – analiza czynników warunkujących.</w:t>
            </w:r>
          </w:p>
          <w:p w14:paraId="5DC00433" w14:textId="77777777" w:rsidR="0051066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Rozwój w okresie późnego dzieciństwa: obraz siebie, moralność, funkcjonowanie społeczne – studium przypadków i dyskusja.</w:t>
            </w:r>
          </w:p>
          <w:p w14:paraId="2A6DFC7C" w14:textId="77777777" w:rsidR="0051066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Rozwój w okresie dorastania: tożsamość, relacje, ryzyka rozwojowe – analiza dylematów i danych empirycznych.</w:t>
            </w:r>
          </w:p>
          <w:p w14:paraId="587BE05C" w14:textId="77777777" w:rsidR="0051066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Rozwój w wieku młodzieńczym: przejścia rozwojowe, role społeczne i cele życiowe – interpretacja zróżnicowanych trajektorii.</w:t>
            </w:r>
          </w:p>
          <w:p w14:paraId="235B15EC" w14:textId="77777777" w:rsidR="0051066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Rozwój w okresie wczesnej dorosłości: bliskość, praca, rodzicielstwo – analiza uwarunkowań i konsekwencji rozwojowych.</w:t>
            </w:r>
          </w:p>
          <w:p w14:paraId="7864B2CE" w14:textId="77777777" w:rsidR="0051066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Rozwój w okresie średniej dorosłości: zmiana ról, bilans życia, adaptacja – interpretacja mechanizmów stabilności i zmiany.</w:t>
            </w:r>
          </w:p>
          <w:p w14:paraId="4A2C9241" w14:textId="77777777" w:rsidR="0051066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Rozwój w okresie późnej dorosłości: starzenie poznawcze, emocjonalne i społeczne; zasoby adaptacyjne – analiza wieloczynnikowa.</w:t>
            </w:r>
          </w:p>
          <w:p w14:paraId="2AF3A68D" w14:textId="77777777" w:rsidR="0051066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Psychologiczne aspekty śmierci: postawy wobec umierania, żałoba; moralność i eutanazja – argumentacja z uwzględnieniem perspektyw etycznych i społecznych.</w:t>
            </w:r>
          </w:p>
          <w:p w14:paraId="60492804" w14:textId="77777777" w:rsidR="0051066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Ryzyka rozwojowe w cyklu życia: identyfikacja czynników ryzyka i ochronnych; analiza przypadku i wnioskowanie.</w:t>
            </w:r>
          </w:p>
          <w:p w14:paraId="71911584" w14:textId="77777777" w:rsidR="0051066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Metody wspomagania rozwoju: projektowanie działań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wsparciowych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adekwatnych do etapu życia; uzasadnianie doboru działań w oparciu o literaturę i standardy etyczne.</w:t>
            </w:r>
          </w:p>
        </w:tc>
      </w:tr>
      <w:tr w:rsidR="00510667" w14:paraId="3BB8F60F" w14:textId="77777777">
        <w:trPr>
          <w:gridAfter w:val="2"/>
          <w:wAfter w:w="104" w:type="dxa"/>
          <w:trHeight w:val="416"/>
          <w:jc w:val="center"/>
        </w:trPr>
        <w:tc>
          <w:tcPr>
            <w:tcW w:w="26" w:type="dxa"/>
          </w:tcPr>
          <w:p w14:paraId="4269FF7E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00" w:type="dxa"/>
            <w:gridSpan w:val="11"/>
          </w:tcPr>
          <w:p w14:paraId="777B6308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podstawowa:</w:t>
            </w:r>
          </w:p>
          <w:p w14:paraId="53931713" w14:textId="77777777" w:rsidR="00510667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Trempała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J. (red.). (2020).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Psychologia rozwoju człowieka: Podręcznik akademicki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Wydawnictwo Naukowe PWN.</w:t>
            </w:r>
          </w:p>
          <w:p w14:paraId="4CE926C4" w14:textId="77777777" w:rsidR="00510667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Przetacznik-Gierowska M., Tyszkowa M. (2005).Psychologia rozwoju człowieka. Zagadnienia ogólne. Wydawnictwo Naukowe PWN, Warszawa</w:t>
            </w:r>
          </w:p>
          <w:p w14:paraId="27811881" w14:textId="77777777" w:rsidR="00510667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Harwas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-Napierała B.,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Trempała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J. (2004). Psychologia rozwoju człowieka. Rozwój funkcji psychicznych. Wydawnictwo Naukowe PWN, Warszawa</w:t>
            </w:r>
          </w:p>
          <w:p w14:paraId="1E95C48A" w14:textId="77777777" w:rsidR="00510667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Harwas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-Napierała B.,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Trempała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J. (2006). Psychologia rozwoju człowieka. Charakterystyka okresów życia człowieka. Wydawnictwo Naukowe PWN, Warszawa</w:t>
            </w:r>
          </w:p>
          <w:p w14:paraId="72A19408" w14:textId="77777777" w:rsidR="00510667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Birch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A. (2022). Psychologia rozwojowa w zarysie. Od niemowlęctwa do dorosłości. Wydawnictwo naukowe PWN, Warszawa</w:t>
            </w:r>
          </w:p>
        </w:tc>
      </w:tr>
      <w:tr w:rsidR="00510667" w14:paraId="29BD27B6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</w:tcPr>
          <w:p w14:paraId="41C480BB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00" w:type="dxa"/>
            <w:gridSpan w:val="11"/>
            <w:vAlign w:val="center"/>
          </w:tcPr>
          <w:p w14:paraId="2A8B5343" w14:textId="77777777" w:rsidR="00510667" w:rsidRDefault="000000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uzupełniająca</w:t>
            </w:r>
          </w:p>
          <w:p w14:paraId="3E05F633" w14:textId="77777777" w:rsidR="0051066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Schaffer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H.R. (2010). Psychologia rozwojowa. Podstawowe pojęcia. Kraków: Wydawnictwo Uniwersytetu Jagiellońskiego. </w:t>
            </w:r>
          </w:p>
          <w:p w14:paraId="05C2D999" w14:textId="77777777" w:rsidR="0051066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Schaffer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H.R. (2014). Psychologia dziecka. Wydawnictwo naukowe PWN, Warszawa</w:t>
            </w:r>
          </w:p>
          <w:p w14:paraId="1F22789C" w14:textId="77777777" w:rsidR="0051066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Brzezińska A. (2005). Psychologiczne portrety człowieka. Gdańskie Wydawnictwo Psychologiczne, Gdańsk.</w:t>
            </w:r>
          </w:p>
          <w:p w14:paraId="0879AABA" w14:textId="77777777" w:rsidR="0051066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Wadsworth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B. J. (1998). Teoria Piageta. Poznawczy i emocjonalny rozwój dziecka. Warszawa: WSiP.</w:t>
            </w:r>
          </w:p>
          <w:p w14:paraId="3E9761EF" w14:textId="77777777" w:rsidR="0051066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Oleś P.K. (2011). Psychologia człowieka dorosłego. Ciągłość – zmiana – integracja. Warszawa: Wydawnictwo Naukowe PWN.</w:t>
            </w:r>
          </w:p>
          <w:p w14:paraId="5094E8C9" w14:textId="77777777" w:rsidR="0051066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Steuden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S. (2011).  Psychologia starzenia się i starości. Warszawa: Wydawnictwo Naukowe PWN.</w:t>
            </w:r>
          </w:p>
          <w:p w14:paraId="7BB3547D" w14:textId="77777777" w:rsidR="0051066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Santrock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J. W. (2019/2021 zależnie od wydania). </w:t>
            </w:r>
            <w:r w:rsidRPr="00E765AF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Life-Span Development</w:t>
            </w:r>
            <w:r w:rsidRPr="00E765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(np. 18th ed.).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McGraw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-Hill. ISBN 9781260245844.</w:t>
            </w:r>
          </w:p>
        </w:tc>
      </w:tr>
      <w:tr w:rsidR="00510667" w14:paraId="1BB574D6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</w:tcPr>
          <w:p w14:paraId="58A944F6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0" w:type="dxa"/>
            <w:gridSpan w:val="11"/>
            <w:vAlign w:val="center"/>
          </w:tcPr>
          <w:p w14:paraId="70C77505" w14:textId="77777777" w:rsidR="00510667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Sposoby oceny (f – formująca, p – podsumowująca): </w:t>
            </w:r>
          </w:p>
          <w:p w14:paraId="2EE130FC" w14:textId="77777777" w:rsidR="00510667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Wykłady</w:t>
            </w:r>
          </w:p>
          <w:p w14:paraId="10210A3E" w14:textId="77777777" w:rsidR="00510667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 – egzamin testowy (pytania jednokrotnego wyboru i otwarte)</w:t>
            </w:r>
          </w:p>
          <w:p w14:paraId="5E92A611" w14:textId="77777777" w:rsidR="00510667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F2 Systematyczne czytanie zalecanej i zadanej literatury.</w:t>
            </w:r>
          </w:p>
          <w:p w14:paraId="3AF9C732" w14:textId="77777777" w:rsidR="00510667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Ćwiczenia</w:t>
            </w:r>
          </w:p>
          <w:p w14:paraId="1B5BAE05" w14:textId="77777777" w:rsidR="00510667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 – Aktywność na zajęciach</w:t>
            </w:r>
          </w:p>
          <w:p w14:paraId="272FBC07" w14:textId="77777777" w:rsidR="00510667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F2 – Systematyczne czytanie zalecanej i zadanej literatury.</w:t>
            </w:r>
          </w:p>
          <w:p w14:paraId="6D4D1396" w14:textId="77777777" w:rsidR="00510667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F3 - Systematyczne odsyłanie zadań zadawanych na zajęciach w określonej jednostce czasowej.</w:t>
            </w:r>
          </w:p>
          <w:p w14:paraId="40F5406D" w14:textId="77777777" w:rsidR="00510667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F4 – Kolokwium zaliczeniowe</w:t>
            </w:r>
          </w:p>
        </w:tc>
      </w:tr>
      <w:tr w:rsidR="00510667" w14:paraId="4286EBB4" w14:textId="77777777">
        <w:trPr>
          <w:gridAfter w:val="2"/>
          <w:wAfter w:w="104" w:type="dxa"/>
          <w:trHeight w:val="575"/>
          <w:jc w:val="center"/>
        </w:trPr>
        <w:tc>
          <w:tcPr>
            <w:tcW w:w="26" w:type="dxa"/>
          </w:tcPr>
          <w:p w14:paraId="1B4FE40D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50" w:type="dxa"/>
            <w:gridSpan w:val="5"/>
            <w:vAlign w:val="center"/>
          </w:tcPr>
          <w:p w14:paraId="62EC83F0" w14:textId="77777777" w:rsidR="00510667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4950" w:type="dxa"/>
            <w:gridSpan w:val="6"/>
            <w:vAlign w:val="center"/>
          </w:tcPr>
          <w:p w14:paraId="268E7764" w14:textId="77777777" w:rsidR="00510667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510667" w14:paraId="29E28802" w14:textId="77777777">
        <w:trPr>
          <w:gridAfter w:val="2"/>
          <w:wAfter w:w="104" w:type="dxa"/>
          <w:trHeight w:val="575"/>
          <w:jc w:val="center"/>
        </w:trPr>
        <w:tc>
          <w:tcPr>
            <w:tcW w:w="26" w:type="dxa"/>
          </w:tcPr>
          <w:p w14:paraId="4D0D30F5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950" w:type="dxa"/>
            <w:gridSpan w:val="5"/>
            <w:vAlign w:val="center"/>
          </w:tcPr>
          <w:p w14:paraId="0E1BF54F" w14:textId="77777777" w:rsidR="00510667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Wykłady</w:t>
            </w:r>
          </w:p>
        </w:tc>
        <w:tc>
          <w:tcPr>
            <w:tcW w:w="4950" w:type="dxa"/>
            <w:gridSpan w:val="6"/>
            <w:vAlign w:val="center"/>
          </w:tcPr>
          <w:p w14:paraId="619E840E" w14:textId="77777777" w:rsidR="00510667" w:rsidRDefault="00000000">
            <w:pPr>
              <w:numPr>
                <w:ilvl w:val="0"/>
                <w:numId w:val="4"/>
              </w:numPr>
              <w:spacing w:after="0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Warunkiem przystąpienia do egzaminu jest uzyskanie zaliczenia z ćwiczeń.</w:t>
            </w:r>
          </w:p>
          <w:p w14:paraId="193CFB4F" w14:textId="77777777" w:rsidR="00510667" w:rsidRDefault="00000000">
            <w:pPr>
              <w:numPr>
                <w:ilvl w:val="0"/>
                <w:numId w:val="4"/>
              </w:numPr>
              <w:spacing w:after="0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Egzamin pisemny (pytania zamknięte i otwarte)</w:t>
            </w:r>
          </w:p>
          <w:p w14:paraId="5381C098" w14:textId="77777777" w:rsidR="00510667" w:rsidRDefault="00000000">
            <w:pPr>
              <w:numPr>
                <w:ilvl w:val="0"/>
                <w:numId w:val="4"/>
              </w:numPr>
              <w:spacing w:after="0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Egzamin odbędzie się stacjonarnie</w:t>
            </w:r>
          </w:p>
          <w:p w14:paraId="33C65838" w14:textId="77777777" w:rsidR="00510667" w:rsidRDefault="00000000">
            <w:pPr>
              <w:numPr>
                <w:ilvl w:val="0"/>
                <w:numId w:val="4"/>
              </w:numPr>
              <w:spacing w:after="0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Kryteria oceny końcowej: </w:t>
            </w:r>
          </w:p>
          <w:p w14:paraId="5B331D61" w14:textId="77777777" w:rsidR="00510667" w:rsidRDefault="00000000">
            <w:pPr>
              <w:spacing w:after="0"/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Bardzo dobra (5,0) - od 91 % do 100 %</w:t>
            </w:r>
          </w:p>
          <w:p w14:paraId="52FB058D" w14:textId="77777777" w:rsidR="00510667" w:rsidRDefault="00000000">
            <w:pPr>
              <w:spacing w:after="0"/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Dobra plus (4,5) - od 81 % do 90 %</w:t>
            </w:r>
          </w:p>
          <w:p w14:paraId="0310E0F9" w14:textId="77777777" w:rsidR="00510667" w:rsidRDefault="00000000">
            <w:pPr>
              <w:spacing w:after="0"/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Dobra (4,0) - od 71 % do 80 %</w:t>
            </w:r>
          </w:p>
          <w:p w14:paraId="39934F67" w14:textId="77777777" w:rsidR="00510667" w:rsidRDefault="00000000">
            <w:pPr>
              <w:spacing w:after="0"/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Dostateczna plus (3,5) - od 61 % do 70 %</w:t>
            </w:r>
          </w:p>
          <w:p w14:paraId="6359FCEF" w14:textId="77777777" w:rsidR="00510667" w:rsidRDefault="00000000">
            <w:pPr>
              <w:spacing w:after="0"/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Dostateczna (3,0) - od 51 % do 60 %</w:t>
            </w:r>
          </w:p>
          <w:p w14:paraId="0E49377E" w14:textId="77777777" w:rsidR="00510667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Niedostateczna (2,0) - poniżej 51 %</w:t>
            </w:r>
          </w:p>
        </w:tc>
      </w:tr>
      <w:tr w:rsidR="00510667" w14:paraId="5D3A9CAF" w14:textId="77777777">
        <w:trPr>
          <w:gridAfter w:val="2"/>
          <w:wAfter w:w="104" w:type="dxa"/>
          <w:trHeight w:val="575"/>
          <w:jc w:val="center"/>
        </w:trPr>
        <w:tc>
          <w:tcPr>
            <w:tcW w:w="26" w:type="dxa"/>
          </w:tcPr>
          <w:p w14:paraId="72888725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950" w:type="dxa"/>
            <w:gridSpan w:val="5"/>
            <w:vAlign w:val="center"/>
          </w:tcPr>
          <w:p w14:paraId="7AB58F26" w14:textId="77777777" w:rsidR="00510667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4950" w:type="dxa"/>
            <w:gridSpan w:val="6"/>
            <w:vAlign w:val="center"/>
          </w:tcPr>
          <w:p w14:paraId="2241969F" w14:textId="77777777" w:rsidR="00510667" w:rsidRDefault="00000000">
            <w:pPr>
              <w:numPr>
                <w:ilvl w:val="0"/>
                <w:numId w:val="5"/>
              </w:numPr>
              <w:spacing w:after="0"/>
              <w:ind w:left="221" w:hanging="21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Minimum 80% obecności na zajęciach</w:t>
            </w:r>
          </w:p>
          <w:p w14:paraId="493C284E" w14:textId="77777777" w:rsidR="00510667" w:rsidRDefault="00000000">
            <w:pPr>
              <w:numPr>
                <w:ilvl w:val="0"/>
                <w:numId w:val="5"/>
              </w:numPr>
              <w:spacing w:after="0"/>
              <w:ind w:left="221" w:hanging="21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Spełnienie szczegółowych kryteriów dotyczących zadań wymienionych przez prowadzącego. </w:t>
            </w:r>
          </w:p>
          <w:p w14:paraId="23E30A4F" w14:textId="77777777" w:rsidR="00510667" w:rsidRDefault="00000000">
            <w:pPr>
              <w:numPr>
                <w:ilvl w:val="0"/>
                <w:numId w:val="5"/>
              </w:numPr>
              <w:spacing w:after="0"/>
              <w:ind w:left="221" w:hanging="21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Terminowe rozliczanie się z zadań określanych w harmonogramie przez prowadzącego.</w:t>
            </w:r>
          </w:p>
          <w:p w14:paraId="580F4799" w14:textId="77777777" w:rsidR="00510667" w:rsidRDefault="00000000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Przygotowanie i prezentacja projektu z obszaru etapów rozwoju w cyklu życia człowieka. Szczegółowe zagadnienia podane na pierwszych zajęciach.</w:t>
            </w:r>
          </w:p>
        </w:tc>
      </w:tr>
      <w:tr w:rsidR="00510667" w14:paraId="6D91637C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C99D931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252DEAB2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Efekty uczenia się </w:t>
            </w:r>
          </w:p>
        </w:tc>
      </w:tr>
      <w:tr w:rsidR="00510667" w14:paraId="6EF55E89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A28E6B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03EA12B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5DB9EA07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053EE9A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510667" w14:paraId="7ABA4854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638B0BE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57E15658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WYKŁADY</w:t>
            </w:r>
          </w:p>
        </w:tc>
      </w:tr>
      <w:tr w:rsidR="00510667" w14:paraId="24569831" w14:textId="77777777">
        <w:trPr>
          <w:gridAfter w:val="2"/>
          <w:wAfter w:w="104" w:type="dxa"/>
          <w:trHeight w:val="546"/>
          <w:jc w:val="center"/>
        </w:trPr>
        <w:tc>
          <w:tcPr>
            <w:tcW w:w="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5C0F7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B78A6B6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6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EA06BEF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Posiada pogłębioną i uporządkowaną wiedzę o współczesnych teoriach i modelach rozwoju człowieka oraz potrafi je porównywać i krytycznie oceniać w kontekście wyjaśniania złożonych zmian rozwojowych w cyklu życia.</w:t>
            </w:r>
          </w:p>
        </w:tc>
        <w:tc>
          <w:tcPr>
            <w:tcW w:w="2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B59852B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K_W03 K_W09   K_W14</w:t>
            </w:r>
          </w:p>
        </w:tc>
      </w:tr>
      <w:tr w:rsidR="00510667" w14:paraId="4BE090BB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91953EA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BB4EFC1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6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75E9E58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Wyjaśnia i interpretuje interakcje czynników (biologicznych, środowiskowych, kulturowych, rodzinnych i instytucjonalnych) kształtujących rozwój; formułuje samodzielne wnioski dotyczące normatywnych i nienormatywnych trajektorii oraz kryzysów rozwojowych.</w:t>
            </w:r>
          </w:p>
        </w:tc>
        <w:tc>
          <w:tcPr>
            <w:tcW w:w="2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3ED9101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08  K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_W09 K_W13</w:t>
            </w:r>
          </w:p>
        </w:tc>
      </w:tr>
      <w:tr w:rsidR="00510667" w14:paraId="25763091" w14:textId="77777777" w:rsidTr="00E765AF">
        <w:trPr>
          <w:gridAfter w:val="2"/>
          <w:wAfter w:w="104" w:type="dxa"/>
          <w:trHeight w:val="321"/>
          <w:jc w:val="center"/>
        </w:trPr>
        <w:tc>
          <w:tcPr>
            <w:tcW w:w="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11D26B6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</w:tcPr>
          <w:p w14:paraId="5662C040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</w:tr>
      <w:tr w:rsidR="00510667" w14:paraId="07CB2E6A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231FD66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D2F9EA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6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2CA40E7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Analizuje opisy przypadków i/lub dane dotyczące funkcjonowania człowieka na różnych etapach życia, integrując perspektywę teoretyczną i empiryczną; uzasadnia wnioski w oparciu o literaturę.</w:t>
            </w:r>
          </w:p>
        </w:tc>
        <w:tc>
          <w:tcPr>
            <w:tcW w:w="2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428AEEA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15  K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_U03 K_U08</w:t>
            </w:r>
          </w:p>
        </w:tc>
      </w:tr>
      <w:tr w:rsidR="00510667" w14:paraId="5D5407F7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8C03F19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2416A77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6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29E1C8A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Dobiera i krytycznie ocenia metody badawcze/diagnostyczne wykorzystywane w psychologii rozwoju, wskazując ich trafność, ograniczenia i konsekwencje dla interpretacji wyników.</w:t>
            </w:r>
          </w:p>
        </w:tc>
        <w:tc>
          <w:tcPr>
            <w:tcW w:w="2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6B9B4A5" w14:textId="496921C3" w:rsidR="00510667" w:rsidRDefault="009467D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467D7">
              <w:rPr>
                <w:rFonts w:ascii="Times New Roman" w:eastAsia="Times New Roman" w:hAnsi="Times New Roman" w:cs="Times New Roman"/>
              </w:rPr>
              <w:t>K_U02, K_U13</w:t>
            </w:r>
          </w:p>
        </w:tc>
      </w:tr>
      <w:tr w:rsidR="00510667" w14:paraId="2490F6B7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BC26964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C521949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E3_U</w:t>
            </w:r>
          </w:p>
        </w:tc>
        <w:tc>
          <w:tcPr>
            <w:tcW w:w="6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4A0FE62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Projektuje (koncepcyjnie) strategie wspierania rozwoju i profilaktyki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ryzyk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rozwojowych adekwatne do wieku i potrzeb jednostki, uzasadniając dobór działań w oparciu o dowody naukowe i standardy etyczne.</w:t>
            </w:r>
          </w:p>
        </w:tc>
        <w:tc>
          <w:tcPr>
            <w:tcW w:w="2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F4BA8A1" w14:textId="5883829F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K_U1</w:t>
            </w:r>
            <w:r w:rsidR="00262BDB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510667" w14:paraId="487E4A46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55963B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67147C6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6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DB57D0" w14:textId="77777777" w:rsidR="00510667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Wykazuje gotowość do odpowiedzialnego i etycznego wykorzystania wiedzy rozwojowej w działaniach wspierających; docenia znaczenie interdyscyplinarnej współpracy w pracy z osobami na różnych etapach życia.</w:t>
            </w:r>
          </w:p>
        </w:tc>
        <w:tc>
          <w:tcPr>
            <w:tcW w:w="2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C49B15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K_K04</w:t>
            </w:r>
          </w:p>
        </w:tc>
      </w:tr>
      <w:tr w:rsidR="00510667" w14:paraId="0228F898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FF42A82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50F9737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510667" w14:paraId="1EA8481D" w14:textId="77777777">
        <w:trPr>
          <w:gridAfter w:val="2"/>
          <w:wAfter w:w="104" w:type="dxa"/>
          <w:trHeight w:val="1638"/>
          <w:jc w:val="center"/>
        </w:trPr>
        <w:tc>
          <w:tcPr>
            <w:tcW w:w="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D58A00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31C1757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57B84064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528B29B9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FCC7F8A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2345A91A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275075D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510667" w14:paraId="7BA2251B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8E34565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1EA0AC3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AAB90DE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K_W03 K_W09   K_W14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2E146B3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Wykład: C1, C3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7623EBF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W1–W3, W5, W7, W10–W11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F0E0E83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94F8B5B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P1,F2</w:t>
            </w:r>
          </w:p>
        </w:tc>
      </w:tr>
      <w:tr w:rsidR="00510667" w14:paraId="42B4159C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676712D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8E08245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7F27060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08  K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_W09 K_W13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ACDEE83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Wykład: C2, C3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43F70C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W4, W6, W8–W9, W12–W13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F697115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B2417DB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P1,F2</w:t>
            </w:r>
          </w:p>
        </w:tc>
      </w:tr>
      <w:tr w:rsidR="00510667" w14:paraId="326773AE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1ADCE7A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D6D8C3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446A4C0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15  K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_U03 K_U08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52B59E0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Ćwiczenia: C1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B23D797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Ć1, Ć3, Ć5–Ć13, Ć15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912A74E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BA92118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P1, F1,F2, F3</w:t>
            </w:r>
          </w:p>
        </w:tc>
      </w:tr>
      <w:tr w:rsidR="00510667" w14:paraId="351885DA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5CDAB82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E397722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9C5C8B" w14:textId="79634B0A" w:rsidR="00510667" w:rsidRDefault="00262BD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467D7">
              <w:rPr>
                <w:rFonts w:ascii="Times New Roman" w:eastAsia="Times New Roman" w:hAnsi="Times New Roman" w:cs="Times New Roman"/>
              </w:rPr>
              <w:t>K_U02, K_U13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29730D0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Ćwiczenia: C2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D388031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Ć2, Ć4, Ć9, Ć14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B9AAF8A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84D35DF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F1,F2, F3, F4</w:t>
            </w:r>
          </w:p>
        </w:tc>
      </w:tr>
      <w:tr w:rsidR="00510667" w14:paraId="4EBDB64E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8D3CDDF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8D970A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E3_U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E828DC" w14:textId="00AA0ABB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K_U1</w:t>
            </w:r>
            <w:r w:rsidR="00262BD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F744BAC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Ćwiczenia: C3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B87F7D3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Ć15–Ć16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A3B3AB0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472E08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F1,F2, F3, F4</w:t>
            </w:r>
          </w:p>
        </w:tc>
      </w:tr>
      <w:tr w:rsidR="00510667" w14:paraId="1C29B450" w14:textId="77777777">
        <w:trPr>
          <w:gridAfter w:val="2"/>
          <w:wAfter w:w="104" w:type="dxa"/>
          <w:trHeight w:val="567"/>
          <w:jc w:val="center"/>
        </w:trPr>
        <w:tc>
          <w:tcPr>
            <w:tcW w:w="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F07C086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771CDFD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3F83FAB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K_K04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5AF7E62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Ćwiczenia: C3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8902170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Ć14–Ć16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C5F8322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3660BB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F1,F2, F3</w:t>
            </w:r>
          </w:p>
        </w:tc>
      </w:tr>
      <w:tr w:rsidR="00510667" w14:paraId="4FD60410" w14:textId="77777777">
        <w:trPr>
          <w:gridAfter w:val="1"/>
          <w:wAfter w:w="8" w:type="dxa"/>
          <w:trHeight w:val="567"/>
          <w:jc w:val="center"/>
        </w:trPr>
        <w:tc>
          <w:tcPr>
            <w:tcW w:w="100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6F71464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510667" w14:paraId="322ECAF3" w14:textId="77777777">
        <w:trPr>
          <w:trHeight w:val="480"/>
          <w:jc w:val="center"/>
        </w:trPr>
        <w:tc>
          <w:tcPr>
            <w:tcW w:w="337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066BB71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373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031D1E3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2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24DEA9F" w14:textId="77777777" w:rsidR="0051066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510667" w14:paraId="4A05E35F" w14:textId="77777777">
        <w:trPr>
          <w:trHeight w:val="480"/>
          <w:jc w:val="center"/>
        </w:trPr>
        <w:tc>
          <w:tcPr>
            <w:tcW w:w="337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82CA96A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46C18E1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203539D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4ABB330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</w:tr>
      <w:tr w:rsidR="00510667" w14:paraId="4399694E" w14:textId="77777777">
        <w:trPr>
          <w:trHeight w:val="567"/>
          <w:jc w:val="center"/>
        </w:trPr>
        <w:tc>
          <w:tcPr>
            <w:tcW w:w="3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EF0906C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373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DE16210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7BF00E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FB526AB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</w:tr>
      <w:tr w:rsidR="00510667" w14:paraId="189F5D0C" w14:textId="77777777">
        <w:trPr>
          <w:trHeight w:val="567"/>
          <w:jc w:val="center"/>
        </w:trPr>
        <w:tc>
          <w:tcPr>
            <w:tcW w:w="3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F69A07D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23EBC5E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BCD3DC8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BC8277B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</w:tr>
      <w:tr w:rsidR="00510667" w14:paraId="750DE820" w14:textId="77777777">
        <w:trPr>
          <w:trHeight w:val="567"/>
          <w:jc w:val="center"/>
        </w:trPr>
        <w:tc>
          <w:tcPr>
            <w:tcW w:w="3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C15426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Seminarium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7C617E2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58F3064" w14:textId="77777777" w:rsidR="00510667" w:rsidRDefault="0051066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1402665" w14:textId="77777777" w:rsidR="00510667" w:rsidRDefault="0051066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10667" w14:paraId="4561E128" w14:textId="77777777">
        <w:trPr>
          <w:trHeight w:val="567"/>
          <w:jc w:val="center"/>
        </w:trPr>
        <w:tc>
          <w:tcPr>
            <w:tcW w:w="3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18F01FF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64C5C8A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A871038" w14:textId="77777777" w:rsidR="00510667" w:rsidRDefault="0051066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A861860" w14:textId="77777777" w:rsidR="00510667" w:rsidRDefault="0051066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10667" w14:paraId="03E1AFD8" w14:textId="77777777">
        <w:trPr>
          <w:trHeight w:val="567"/>
          <w:jc w:val="center"/>
        </w:trPr>
        <w:tc>
          <w:tcPr>
            <w:tcW w:w="3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707A3E8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27D618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24D3641" w14:textId="77777777" w:rsidR="00510667" w:rsidRDefault="0051066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2725CC" w14:textId="77777777" w:rsidR="00510667" w:rsidRDefault="0051066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10667" w14:paraId="7368A04A" w14:textId="77777777">
        <w:trPr>
          <w:trHeight w:val="567"/>
          <w:jc w:val="center"/>
        </w:trPr>
        <w:tc>
          <w:tcPr>
            <w:tcW w:w="3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423B5CF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026C7C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08CA49" w14:textId="77777777" w:rsidR="00510667" w:rsidRDefault="0051066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4501F2" w14:textId="77777777" w:rsidR="00510667" w:rsidRDefault="0051066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10667" w14:paraId="12D69603" w14:textId="77777777">
        <w:trPr>
          <w:trHeight w:val="567"/>
          <w:jc w:val="center"/>
        </w:trPr>
        <w:tc>
          <w:tcPr>
            <w:tcW w:w="3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DA2EFF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 monograficzny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49A6B5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48D3ED3" w14:textId="77777777" w:rsidR="00510667" w:rsidRDefault="0051066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9B01306" w14:textId="77777777" w:rsidR="00510667" w:rsidRDefault="0051066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10667" w14:paraId="0874ECE0" w14:textId="77777777">
        <w:trPr>
          <w:trHeight w:val="567"/>
          <w:jc w:val="center"/>
        </w:trPr>
        <w:tc>
          <w:tcPr>
            <w:tcW w:w="337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D45B9D8" w14:textId="77777777" w:rsidR="00510667" w:rsidRDefault="0051066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6F77B9F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F4E48AB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946B404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510667" w14:paraId="52A79E91" w14:textId="77777777">
        <w:trPr>
          <w:trHeight w:val="567"/>
          <w:jc w:val="center"/>
        </w:trPr>
        <w:tc>
          <w:tcPr>
            <w:tcW w:w="337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8B004AD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B01645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534275" w14:textId="77777777" w:rsidR="00510667" w:rsidRDefault="0051066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6298A34" w14:textId="77777777" w:rsidR="00510667" w:rsidRDefault="0051066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10667" w14:paraId="109E2E47" w14:textId="77777777">
        <w:trPr>
          <w:trHeight w:val="567"/>
          <w:jc w:val="center"/>
        </w:trPr>
        <w:tc>
          <w:tcPr>
            <w:tcW w:w="337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37B0AEE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25EEF4E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0F4892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85FDC95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</w:t>
            </w:r>
          </w:p>
        </w:tc>
      </w:tr>
      <w:tr w:rsidR="00510667" w14:paraId="2ADEA1FC" w14:textId="77777777">
        <w:trPr>
          <w:trHeight w:val="567"/>
          <w:jc w:val="center"/>
        </w:trPr>
        <w:tc>
          <w:tcPr>
            <w:tcW w:w="337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F620DDF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BAE0B5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4B382E" w14:textId="77777777" w:rsidR="00510667" w:rsidRDefault="0051066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3B6E792" w14:textId="77777777" w:rsidR="00510667" w:rsidRDefault="0051066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10667" w14:paraId="3A752B2C" w14:textId="77777777">
        <w:trPr>
          <w:trHeight w:val="567"/>
          <w:jc w:val="center"/>
        </w:trPr>
        <w:tc>
          <w:tcPr>
            <w:tcW w:w="337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9F90123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0AD6539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710F674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1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0CB8334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</w:t>
            </w:r>
          </w:p>
        </w:tc>
      </w:tr>
      <w:tr w:rsidR="00510667" w14:paraId="2793D2CE" w14:textId="77777777">
        <w:trPr>
          <w:trHeight w:val="567"/>
          <w:jc w:val="center"/>
        </w:trPr>
        <w:tc>
          <w:tcPr>
            <w:tcW w:w="337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060330" w14:textId="77777777" w:rsidR="00510667" w:rsidRDefault="005106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DB517DC" w14:textId="77777777" w:rsidR="00510667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E-learning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7614171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91862D2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510667" w14:paraId="605FE1CA" w14:textId="77777777">
        <w:trPr>
          <w:trHeight w:val="567"/>
          <w:jc w:val="center"/>
        </w:trPr>
        <w:tc>
          <w:tcPr>
            <w:tcW w:w="71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D0AEB5F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6F480BD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250</w:t>
            </w:r>
          </w:p>
        </w:tc>
        <w:tc>
          <w:tcPr>
            <w:tcW w:w="1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CFBBBC8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250</w:t>
            </w:r>
          </w:p>
        </w:tc>
      </w:tr>
      <w:tr w:rsidR="00510667" w14:paraId="60EC1641" w14:textId="77777777">
        <w:trPr>
          <w:trHeight w:val="567"/>
          <w:jc w:val="center"/>
        </w:trPr>
        <w:tc>
          <w:tcPr>
            <w:tcW w:w="71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965DF38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2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314335" w14:textId="77777777" w:rsidR="00510667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</w:tr>
    </w:tbl>
    <w:p w14:paraId="5C1E98D3" w14:textId="77777777" w:rsidR="00510667" w:rsidRDefault="00510667">
      <w:pPr>
        <w:spacing w:after="0"/>
        <w:rPr>
          <w:rFonts w:ascii="Times New Roman" w:eastAsia="Times New Roman" w:hAnsi="Times New Roman" w:cs="Times New Roman"/>
        </w:rPr>
      </w:pPr>
    </w:p>
    <w:sectPr w:rsidR="00510667">
      <w:footerReference w:type="default" r:id="rId9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46F4B" w14:textId="77777777" w:rsidR="00244F22" w:rsidRDefault="00244F22">
      <w:pPr>
        <w:spacing w:after="0" w:line="240" w:lineRule="auto"/>
      </w:pPr>
      <w:r>
        <w:separator/>
      </w:r>
    </w:p>
  </w:endnote>
  <w:endnote w:type="continuationSeparator" w:id="0">
    <w:p w14:paraId="3C4D51D8" w14:textId="77777777" w:rsidR="00244F22" w:rsidRDefault="00244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A65BC91A-DF9D-1446-A4C4-5416F0FDF1A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338596CB-74C3-644B-8E5E-81442E2542C3}"/>
    <w:embedBold r:id="rId4" w:fontKey="{6A6684D9-4092-584F-896C-761F76186F3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F847BD2A-38FE-414D-85B2-0E25988440BF}"/>
    <w:embedBold r:id="rId6" w:fontKey="{B86CFC11-0F36-CA46-8FE6-63E82EDD887F}"/>
    <w:embedItalic r:id="rId7" w:fontKey="{6E3B4E53-4EF6-D34D-9BF6-549A343E6F8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7E3AAC0B-E6C2-334C-B54E-614CDBA98BB9}"/>
    <w:embedBold r:id="rId9" w:fontKey="{0DFCDDC5-F636-4D44-98E7-E4BA6688E74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E721DF1D-6E91-E541-86AE-2A70250118A9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1" w:fontKey="{0A28F9AC-FDC6-C44A-B79B-0C1E312C74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8BEFA" w14:textId="77777777" w:rsidR="0051066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E765AF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0EE360B4" w14:textId="77777777" w:rsidR="00510667" w:rsidRDefault="0051066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78468" w14:textId="77777777" w:rsidR="00244F22" w:rsidRDefault="00244F22">
      <w:pPr>
        <w:spacing w:after="0" w:line="240" w:lineRule="auto"/>
      </w:pPr>
      <w:r>
        <w:separator/>
      </w:r>
    </w:p>
  </w:footnote>
  <w:footnote w:type="continuationSeparator" w:id="0">
    <w:p w14:paraId="2E9EE7F6" w14:textId="77777777" w:rsidR="00244F22" w:rsidRDefault="00244F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B015C"/>
    <w:multiLevelType w:val="multilevel"/>
    <w:tmpl w:val="C478D7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CF72312"/>
    <w:multiLevelType w:val="multilevel"/>
    <w:tmpl w:val="461E45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D6E3B"/>
    <w:multiLevelType w:val="multilevel"/>
    <w:tmpl w:val="462A0F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62A4BE5"/>
    <w:multiLevelType w:val="multilevel"/>
    <w:tmpl w:val="85F8E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5055F6"/>
    <w:multiLevelType w:val="multilevel"/>
    <w:tmpl w:val="0DC0E5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91429B"/>
    <w:multiLevelType w:val="multilevel"/>
    <w:tmpl w:val="F1E0C0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779103226">
    <w:abstractNumId w:val="3"/>
  </w:num>
  <w:num w:numId="2" w16cid:durableId="88622641">
    <w:abstractNumId w:val="1"/>
  </w:num>
  <w:num w:numId="3" w16cid:durableId="1541434512">
    <w:abstractNumId w:val="4"/>
  </w:num>
  <w:num w:numId="4" w16cid:durableId="601180363">
    <w:abstractNumId w:val="5"/>
  </w:num>
  <w:num w:numId="5" w16cid:durableId="41827053">
    <w:abstractNumId w:val="2"/>
  </w:num>
  <w:num w:numId="6" w16cid:durableId="584188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667"/>
    <w:rsid w:val="001326DA"/>
    <w:rsid w:val="00244F22"/>
    <w:rsid w:val="00262BDB"/>
    <w:rsid w:val="00432FBF"/>
    <w:rsid w:val="004C7D01"/>
    <w:rsid w:val="00510667"/>
    <w:rsid w:val="009467D7"/>
    <w:rsid w:val="00E765AF"/>
    <w:rsid w:val="00F6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CC91E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Nagwek1Znak">
    <w:name w:val="Nagłówek 1 Znak"/>
    <w:basedOn w:val="Domylnaczcionkaakapitu"/>
    <w:rsid w:val="001D4FB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basedOn w:val="Domylnaczcionkaakapitu"/>
    <w:rsid w:val="001D4FB5"/>
    <w:rPr>
      <w:rFonts w:ascii="Arial" w:eastAsia="Times New Roman" w:hAnsi="Arial" w:cs="Times New Roman"/>
      <w:b/>
      <w:bCs/>
    </w:rPr>
  </w:style>
  <w:style w:type="character" w:customStyle="1" w:styleId="Nagwek3Znak">
    <w:name w:val="Nagłówek 3 Znak"/>
    <w:basedOn w:val="Domylnaczcionkaakapitu"/>
    <w:rsid w:val="001D4FB5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Nagwek6Znak">
    <w:name w:val="Nagłówek 6 Znak"/>
    <w:basedOn w:val="Domylnaczcionkaakapitu"/>
    <w:rsid w:val="001D4FB5"/>
    <w:rPr>
      <w:rFonts w:ascii="Times New Roman" w:eastAsia="Times New Roman" w:hAnsi="Times New Roman" w:cs="Times New Roman"/>
      <w:b/>
      <w:bCs/>
    </w:rPr>
  </w:style>
  <w:style w:type="paragraph" w:styleId="Stopka">
    <w:name w:val="footer"/>
    <w:link w:val="StopkaZnak"/>
    <w:uiPriority w:val="99"/>
    <w:rsid w:val="001D4FB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1D4FB5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link w:val="TekstpodstawowyZnak"/>
    <w:rsid w:val="001D4FB5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1D4FB5"/>
    <w:rPr>
      <w:rFonts w:ascii="Times New Roman" w:eastAsia="Times New Roman" w:hAnsi="Times New Roman" w:cs="Times New Roman"/>
      <w:sz w:val="24"/>
      <w:szCs w:val="24"/>
    </w:rPr>
  </w:style>
  <w:style w:type="paragraph" w:styleId="Tekstpodstawowywcity">
    <w:name w:val="Body Text Indent"/>
    <w:link w:val="TekstpodstawowywcityZnak"/>
    <w:uiPriority w:val="99"/>
    <w:rsid w:val="001D4FB5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1D4FB5"/>
    <w:rPr>
      <w:rFonts w:ascii="Arial" w:eastAsia="Times New Roman" w:hAnsi="Arial" w:cs="Times New Roman"/>
    </w:rPr>
  </w:style>
  <w:style w:type="paragraph" w:styleId="Akapitzlist">
    <w:name w:val="List Paragraph"/>
    <w:uiPriority w:val="34"/>
    <w:qFormat/>
    <w:rsid w:val="001D4FB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character" w:customStyle="1" w:styleId="Bodytext2">
    <w:name w:val="Body text (2)_"/>
    <w:link w:val="Bodytext20"/>
    <w:rsid w:val="001D4FB5"/>
    <w:rPr>
      <w:rFonts w:cs="Calibri"/>
      <w:b/>
      <w:bCs/>
      <w:sz w:val="16"/>
      <w:szCs w:val="16"/>
      <w:shd w:val="clear" w:color="auto" w:fill="FFFFFF"/>
    </w:rPr>
  </w:style>
  <w:style w:type="paragraph" w:customStyle="1" w:styleId="Bodytext20">
    <w:name w:val="Body text (2)"/>
    <w:link w:val="Bodytext2"/>
    <w:rsid w:val="001D4FB5"/>
    <w:pPr>
      <w:widowControl w:val="0"/>
      <w:shd w:val="clear" w:color="auto" w:fill="FFFFFF"/>
      <w:spacing w:after="0" w:line="0" w:lineRule="atLeast"/>
    </w:pPr>
    <w:rPr>
      <w:rFonts w:asciiTheme="minorHAnsi" w:eastAsiaTheme="minorHAnsi" w:hAnsiTheme="minorHAnsi"/>
      <w:b/>
      <w:bCs/>
      <w:sz w:val="16"/>
      <w:szCs w:val="16"/>
    </w:rPr>
  </w:style>
  <w:style w:type="paragraph" w:customStyle="1" w:styleId="Bezodstpw1">
    <w:name w:val="Bez odstępów1"/>
    <w:rsid w:val="001D4FB5"/>
    <w:pPr>
      <w:suppressAutoHyphens/>
      <w:spacing w:after="0" w:line="240" w:lineRule="auto"/>
    </w:pPr>
    <w:rPr>
      <w:rFonts w:cs="Times New Roman"/>
      <w:lang w:eastAsia="ar-SA"/>
    </w:rPr>
  </w:style>
  <w:style w:type="paragraph" w:styleId="Bezodstpw">
    <w:name w:val="No Spacing"/>
    <w:link w:val="BezodstpwZnak"/>
    <w:uiPriority w:val="1"/>
    <w:qFormat/>
    <w:rsid w:val="001D4FB5"/>
    <w:pPr>
      <w:spacing w:after="0" w:line="240" w:lineRule="auto"/>
    </w:pPr>
    <w:rPr>
      <w:rFonts w:cs="Times New Roman"/>
    </w:rPr>
  </w:style>
  <w:style w:type="character" w:customStyle="1" w:styleId="BezodstpwZnak">
    <w:name w:val="Bez odstępów Znak"/>
    <w:link w:val="Bezodstpw"/>
    <w:uiPriority w:val="1"/>
    <w:locked/>
    <w:rsid w:val="001D4FB5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0B0B6A"/>
    <w:rPr>
      <w:b/>
      <w:bCs/>
    </w:rPr>
  </w:style>
  <w:style w:type="paragraph" w:customStyle="1" w:styleId="xl33">
    <w:name w:val="xl33"/>
    <w:rsid w:val="00986789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F2CA5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BF2C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2CA5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2C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2CA5"/>
    <w:rPr>
      <w:rFonts w:ascii="Calibri" w:eastAsia="Calibri" w:hAnsi="Calibri" w:cs="Times New Roman"/>
      <w:b/>
      <w:bCs/>
      <w:sz w:val="20"/>
      <w:szCs w:val="2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6hm7HW4KQunKx64SPZwYMxEwYQ==">CgMxLjA4AHIhMWVGbEVsT0g0VEtkem10WjdJM3FfRS1BM2tGTmh0cW9K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2011</Words>
  <Characters>13034</Characters>
  <Application>Microsoft Office Word</Application>
  <DocSecurity>0</DocSecurity>
  <Lines>245</Lines>
  <Paragraphs>94</Paragraphs>
  <ScaleCrop>false</ScaleCrop>
  <Company/>
  <LinksUpToDate>false</LinksUpToDate>
  <CharactersWithSpaces>14951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Jadwiga Kamińska-Reyman</dc:creator>
  <cp:lastModifiedBy>Agnieszka Muchacka-Cymerman</cp:lastModifiedBy>
  <cp:revision>5</cp:revision>
  <dcterms:created xsi:type="dcterms:W3CDTF">2026-03-11T21:45:00Z</dcterms:created>
  <dcterms:modified xsi:type="dcterms:W3CDTF">2026-04-08T19:23:00Z</dcterms:modified>
</cp:coreProperties>
</file>