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FDC11" w14:textId="77777777" w:rsidR="00E2613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6FFFD878" wp14:editId="4520579F">
            <wp:simplePos x="0" y="0"/>
            <wp:positionH relativeFrom="column">
              <wp:posOffset>-366394</wp:posOffset>
            </wp:positionH>
            <wp:positionV relativeFrom="paragraph">
              <wp:posOffset>130810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98"/>
        <w:gridCol w:w="1776"/>
        <w:gridCol w:w="351"/>
        <w:gridCol w:w="490"/>
        <w:gridCol w:w="997"/>
        <w:gridCol w:w="33"/>
        <w:gridCol w:w="1452"/>
      </w:tblGrid>
      <w:tr w:rsidR="00E26130" w14:paraId="7D2027DC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63A7ED3" w14:textId="77777777" w:rsidR="00E2613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E26130" w14:paraId="6139B8D2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FFFFFF"/>
            <w:vAlign w:val="center"/>
          </w:tcPr>
          <w:p w14:paraId="55A62080" w14:textId="77777777" w:rsidR="00E2613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E26130" w14:paraId="711B69FB" w14:textId="77777777">
        <w:trPr>
          <w:trHeight w:val="567"/>
          <w:jc w:val="center"/>
        </w:trPr>
        <w:tc>
          <w:tcPr>
            <w:tcW w:w="3330" w:type="dxa"/>
            <w:gridSpan w:val="2"/>
            <w:vAlign w:val="center"/>
          </w:tcPr>
          <w:p w14:paraId="7E7446D2" w14:textId="77777777" w:rsidR="00E2613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9"/>
            <w:vAlign w:val="center"/>
          </w:tcPr>
          <w:p w14:paraId="4DCDF42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Wykład, </w:t>
            </w: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wiczenia</w:t>
            </w:r>
          </w:p>
        </w:tc>
      </w:tr>
      <w:tr w:rsidR="00E26130" w14:paraId="5FA69ADB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43BDB3C6" w14:textId="77777777" w:rsidR="00E2613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E26130" w14:paraId="413747FF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158F9AEE" w14:textId="77777777" w:rsidR="00E2613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E26130" w14:paraId="17EC15CC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vAlign w:val="center"/>
          </w:tcPr>
          <w:p w14:paraId="00D1C992" w14:textId="77777777" w:rsidR="00E2613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0B2EA7E8" w14:textId="77777777" w:rsidR="00E2613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E26130" w14:paraId="28C6BE42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570D0006" w14:textId="77777777" w:rsidR="00E2613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PSYCHOLOGIA SPOŁECZNA</w:t>
            </w:r>
          </w:p>
        </w:tc>
      </w:tr>
      <w:tr w:rsidR="00E26130" w14:paraId="3AF39E2B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B7DC47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52E7D96F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238D5210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rozumienia kluczowych teorii i mechanizmów psychologii społecznej oraz ich zastosowania do wyjaśniania złożonych zjawisk społecznych</w:t>
            </w:r>
          </w:p>
          <w:p w14:paraId="7F920860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54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Krytyczna analiza wyników klasycznych i współczesnych badań (w tym eksperymentalnych) oraz ocena ich ograniczeń metodologicznych i interpretacyjnych.</w:t>
            </w:r>
          </w:p>
          <w:p w14:paraId="20583F8A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Interpretowanie zachowań jednostek i grup w kategoriach procesów poznania społecznego, wpływu społecznego i dynamiki grupowej – z uwzględnieniem kontekstu sytuacyjnego i kulturowego.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748A63E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C4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Wykształcenie umiejętności przeprowadzania badań z zakresu psychologii społecznej.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7C287048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projektowania (na poziomie koncepcyjnym) badań z zakresu psychologii społecznej oraz uzasadniania doboru procedur i narzędzi.</w:t>
            </w:r>
          </w:p>
          <w:p w14:paraId="36687DA8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Doskonalenie analizy przypadków i danych (także jakościowych) dotyczących zjawisk społecznych oraz formułowania wniosków z uwzględnieniem alternatywnych wyjaśnień.</w:t>
            </w:r>
          </w:p>
          <w:p w14:paraId="61A9677A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Kształtowanie kompetencji stosowania wiedzy o wywieraniu wpływu, zmianie postaw i autoprezentacji w sposób odpowiedzialny i etyczny (identyfikacja nadużyć i ryzyk).</w:t>
            </w:r>
          </w:p>
        </w:tc>
      </w:tr>
      <w:tr w:rsidR="00E26130" w14:paraId="554C8C3F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2F07B236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Wprowadzenie do psychologii, historia myśli psychologicznej</w:t>
            </w:r>
          </w:p>
        </w:tc>
      </w:tr>
      <w:tr w:rsidR="00E26130" w14:paraId="2B8A87CC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74AD236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313504EF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Wykłady (prezentacje multimedialne, materiały wizualne: schematy modeli/teorii i wykresy wyników badań, krótkie materiały wideo ilustrujące klasyczne paradygmaty/eksperymenty)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 dydaktyczna moderowana (studia przypadków, fragmenty artykułów naukowych do oceny argumentów, pytania problemowe do debaty i uzasadniania wniosków)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literatury przedmiotu (monografie, artykuły recenzowane, rozdziały podręczników wskazane przez prowadzącego, zasoby biblioteczne online/bazy publikacji)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Ćwiczenia – praca w grupach projektowych, eksperymenty (karty pracy i arkusze projektowe, instrukcje procedur/mini-eksperymentów, narzędzia do zbierania danych: ankiety/kwestionariusze w wersji dydaktycznej, platforma e-learning do udostępniania materiałów i oddawania prac)</w:t>
            </w:r>
          </w:p>
          <w:p w14:paraId="5A0B13DF" w14:textId="77777777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7606440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Pomoce dydaktyczne</w:t>
            </w:r>
          </w:p>
          <w:p w14:paraId="696D9218" w14:textId="77777777" w:rsidR="00E26130" w:rsidRDefault="00000000">
            <w:pPr>
              <w:pStyle w:val="Nagwek3"/>
              <w:keepNext w:val="0"/>
              <w:spacing w:line="276" w:lineRule="auto"/>
              <w:ind w:left="0" w:hanging="2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0" w:name="_heading=h.ro4ku75rd8d8" w:colFirst="0" w:colLast="0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>Pd1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Prezentacje multimedialne i materiały wizualne (slajdy, infografiki, schematy procesów poznania społecznego i wpływu społecznego, tabele porównawcze teorii)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>Pd2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Zestaw studiów przypadków oraz kart pracy do analizy zjawisk społecznych (opisy sytuacji: konformizm, posłuszeństwo, konflikty, uprzedzenia, autoprezentacja; arkusze do wnioskowania i oceny alternatywnych wyjaśnień)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>Pd3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Materiały naukowe i dydaktyczne do pracy z danymi (artykuły recenzowane, raporty z badań, przykładowe zbiory danych/rezultaty eksperymentów do interpretacji, instrukcje procedur badawczych i standardów etycznych)</w:t>
            </w:r>
          </w:p>
        </w:tc>
      </w:tr>
      <w:tr w:rsidR="00E26130" w14:paraId="2DC560E2" w14:textId="77777777">
        <w:trPr>
          <w:trHeight w:val="273"/>
          <w:jc w:val="center"/>
        </w:trPr>
        <w:tc>
          <w:tcPr>
            <w:tcW w:w="10198" w:type="dxa"/>
            <w:gridSpan w:val="11"/>
            <w:shd w:val="clear" w:color="auto" w:fill="DBE5F1"/>
            <w:vAlign w:val="center"/>
          </w:tcPr>
          <w:p w14:paraId="7C887838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1A78F7C1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6130" w14:paraId="403BC6A5" w14:textId="77777777">
        <w:trPr>
          <w:trHeight w:val="2402"/>
          <w:jc w:val="center"/>
        </w:trPr>
        <w:tc>
          <w:tcPr>
            <w:tcW w:w="10198" w:type="dxa"/>
            <w:gridSpan w:val="11"/>
          </w:tcPr>
          <w:p w14:paraId="082299AB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326DE740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Zakres i tożsamość dyscypliny: definicje, poziomy wyjaśniania zjawisk społecznych; konsekwencje przyjętych założeń dla badań i praktyki.</w:t>
            </w:r>
          </w:p>
          <w:p w14:paraId="3D4D4995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Metodologia psychologii społecznej: logika eksperymentu, trafność wewnętrzna i zewnętrzna, kwestie replikacji, etyka badań i interpretacja efektów.</w:t>
            </w:r>
          </w:p>
          <w:p w14:paraId="590CAFF8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Klasyczne eksperymenty psychologii społecznej: analiza rezultatów, ograniczeń metodologicznych i aktualnej oceny w świetle współczesnych standardów.</w:t>
            </w:r>
          </w:p>
          <w:p w14:paraId="56C7AAF0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Poznanie społeczne: mechanizmy, ograniczenia, błędy poznawcze; konsekwencje dla decyzji i ocen w sytuacjach społecznych.</w:t>
            </w:r>
          </w:p>
          <w:p w14:paraId="44F59DF7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Spostrzeganie społeczne i atrybucje: modele wyjaśniania przyczyn zachowań; analiza błędów atrybucyjnych i ich skutków w relacjach społecznych.</w:t>
            </w:r>
          </w:p>
          <w:p w14:paraId="1DB9F256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Procesy grupowe: facylitacja, próżniactwo, decyzje grupowe, konflikt i współpraca – mechanizmy, warunki brzegowe, implikacje praktyczne.</w:t>
            </w:r>
          </w:p>
          <w:p w14:paraId="01928C69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Konformizm i posłuszeństwo: uwarunkowania sytuacyjne i indywidualne; krytyczna interpretacja wyników badań.</w:t>
            </w:r>
          </w:p>
          <w:p w14:paraId="6E215057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Agresja i altruizm: modele wyjaśniające, czynniki ryzyka i ochronne; zastosowania profilaktyczne i interwencyjne.</w:t>
            </w:r>
          </w:p>
          <w:p w14:paraId="0F13FC4A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Postawy: nabywanie, funkcje, pomiar; mechanizmy zmiany postaw – warunki skuteczności i ograniczenia.</w:t>
            </w:r>
          </w:p>
          <w:p w14:paraId="0CC26A71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Atrakcyjność interpersonalna: determinanty, funkcje i kontekst społeczny; interpretacja wyników badań.</w:t>
            </w:r>
          </w:p>
          <w:p w14:paraId="197A3670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Autoprezentacja: strategie i motywy; zarządzanie wizerunkiem i jego konsekwencje psychologiczne.</w:t>
            </w:r>
          </w:p>
          <w:p w14:paraId="008721CF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Przywództwo: style, mechanizmy wpływu lidera, funkcjonowanie w grupie; analiza kontekstów skuteczności.</w:t>
            </w:r>
          </w:p>
          <w:p w14:paraId="5B28C1BD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społeczna a prawo: zastosowania wiedzy o wpływie społecznym i poznaniu społecznym w kontekście instytucjonalnym.</w:t>
            </w:r>
          </w:p>
          <w:p w14:paraId="459D4AB3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Komunikacja interpersonalna: mechanizmy, bariery, rola w realizacji potrzeb i celów; analiza przypadków.</w:t>
            </w:r>
          </w:p>
          <w:p w14:paraId="3E478E91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społeczna a zdrowie i środowisko: zachowania prozdrowotne/proekologiczne; uwarunkowania i interwencje.</w:t>
            </w:r>
          </w:p>
          <w:p w14:paraId="5A352CD6" w14:textId="77777777" w:rsidR="00E2613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Wywieranie wpływu społecznego: reguły wpływu (wzajemność, zaangażowanie/konsekwencja, niedostępność, społeczny dowód słuszności, lubienie/sympatia, autorytet) – analiza skuteczności, granic etycznych i ryzyk nadużyć.</w:t>
            </w:r>
          </w:p>
          <w:p w14:paraId="4505F79E" w14:textId="77777777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0F9352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4377E677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Proces badawczy w psychologii społecznej: formułowanie problemu i hipotez, operacjonalizacja zmiennych, dobór planu eksperymentalnego; krytyczna ocena trafności (wewnętrznej i zewnętrznej), kontroli zmiennych zakłócających oraz standardów etycznych; plan analizy i interpretacji wyników.</w:t>
            </w:r>
          </w:p>
          <w:p w14:paraId="69D134E6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Psychologia miłości – przemiany miłości oraz zakochanie: analiza mechanizmów i uwarunkowań (poznawczych, emocjonalnych, motywacyjnych i społecznych); interpretacja danych empirycznych oraz alternatywnych wyjaśnień zjawiska.</w:t>
            </w:r>
          </w:p>
          <w:p w14:paraId="19E75B4F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miłości – romantyczne początki oraz związek kompletny: czynniki inicjowania i podtrzymywania relacji; analiza dynamiki relacji w ujęciu teoretycznym i empirycznym; identyfikacja warunków sprzyjających stabilności i satysfakcji w związku.</w:t>
            </w:r>
          </w:p>
          <w:p w14:paraId="5BA6B3EC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miłości – związek przyjacielski oraz związek pusty i jego rozkład: porównanie typów relacji i trajektorii zmian; analiza czynników ryzyka rozpadu relacji; interpretacja opisów przypadków i wnioskowanie o mechanizmach rozkładu związku.</w:t>
            </w:r>
          </w:p>
          <w:p w14:paraId="255156DA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miłości – różnorodność: różne formy relacji i ich uwarunkowania kulturowe, sytuacyjne i indywidualne; analiza konsekwencji psychospołecznych; krytyczna refleksja nad stereotypami dotyczącymi relacji.</w:t>
            </w:r>
          </w:p>
          <w:p w14:paraId="3C7DB52C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Autoprezentacja – taktyki i motywy: analiza strategii wywierania wrażenia na innych; identyfikacja funkcji autoprezentacji (instrumentalnych i tożsamościowych) oraz kosztów psychologicznych; ćwiczenia w interpretacji zachowań autoprezentacyjnych w kontekście sytuacyjnym.</w:t>
            </w:r>
          </w:p>
          <w:p w14:paraId="3D9C39DE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Kontekst społeczny autoprezentacji oraz wartość odbiorców: wpływ norm, ról społecznych i oczekiwań odbiorców na wybór strategii autoprezentacyjnych; analiza różnic indywidualnych i sytuacyjnych; ocena skuteczności i ryzyk wizerunkowych.</w:t>
            </w:r>
          </w:p>
          <w:p w14:paraId="2D64CE2B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Aktualny społeczny i zasada komplementarności w autoprezentacji: spójność i niespójność wizerunku; mechanizmy wzmacniania/rekonstruowania wizerunku; analiza konsekwencji komplementarności w relacjach interpersonalnych i zawodowych.</w:t>
            </w:r>
          </w:p>
          <w:p w14:paraId="0F461D44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Struktura Ja i troski autoprezentacyjne; stereotypy i uprzedzenia: funkcje stereotypów i uprzedzeń, mechanizmy podtrzymywania; projektowanie działań ograniczających uprzedzenia (na poziomie koncepcyjnym) i krytyczna ocena ich skuteczności; wnioskowanie na podstawie danych i opisów przypadków.</w:t>
            </w:r>
          </w:p>
          <w:p w14:paraId="0FDD84C9" w14:textId="77777777" w:rsidR="00E2613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Altruizm i agresja: analiza mechanizmów i determinant (sytuacyjnych, poznawczych, emocjonalnych i normatywnych); diagnoza czynników ryzyka i ochronnych w studiach przypadków; formułowanie rekomendacji profilaktycznych/interwencyjnych z uzasadnieniem.</w:t>
            </w:r>
          </w:p>
        </w:tc>
      </w:tr>
      <w:tr w:rsidR="00E26130" w:rsidRPr="00A97F29" w14:paraId="4D151AF5" w14:textId="77777777">
        <w:trPr>
          <w:trHeight w:val="704"/>
          <w:jc w:val="center"/>
        </w:trPr>
        <w:tc>
          <w:tcPr>
            <w:tcW w:w="10198" w:type="dxa"/>
            <w:gridSpan w:val="11"/>
            <w:vAlign w:val="center"/>
          </w:tcPr>
          <w:p w14:paraId="5040878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569CFD5E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1.    </w:t>
            </w:r>
            <w:r>
              <w:rPr>
                <w:rFonts w:ascii="Times New Roman" w:eastAsia="Times New Roman" w:hAnsi="Times New Roman" w:cs="Times New Roman"/>
              </w:rPr>
              <w:t>Aronson E. (2020),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Człowiek – istota społeczna</w:t>
            </w:r>
            <w:r>
              <w:rPr>
                <w:rFonts w:ascii="Times New Roman" w:eastAsia="Times New Roman" w:hAnsi="Times New Roman" w:cs="Times New Roman"/>
              </w:rPr>
              <w:t>. Warszawa: Wydawnictwo Naukowe PWN, s. 45–120; 145–210; 235–310; 355–420.</w:t>
            </w:r>
          </w:p>
          <w:p w14:paraId="5FB0F47C" w14:textId="77777777" w:rsidR="00E26130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A97F29">
              <w:rPr>
                <w:rFonts w:ascii="Times New Roman" w:eastAsia="Times New Roman" w:hAnsi="Times New Roman" w:cs="Times New Roman"/>
                <w:lang w:val="en-US"/>
              </w:rPr>
              <w:t>2.     Aronson E., Wilson T. D., Akert R. M. (2012).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społeczna.</w:t>
            </w:r>
            <w:r>
              <w:rPr>
                <w:rFonts w:ascii="Times New Roman" w:eastAsia="Times New Roman" w:hAnsi="Times New Roman" w:cs="Times New Roman"/>
              </w:rPr>
              <w:t> Poznań: Zysk i S-ka Wydawnictwo, s. 23–110; 155–240; 275–360; 401–470.</w:t>
            </w:r>
          </w:p>
          <w:p w14:paraId="22A0241F" w14:textId="77777777" w:rsidR="00E26130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     Wojciszke, B. (2023).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społeczna</w:t>
            </w:r>
            <w:r>
              <w:rPr>
                <w:rFonts w:ascii="Times New Roman" w:eastAsia="Times New Roman" w:hAnsi="Times New Roman" w:cs="Times New Roman"/>
              </w:rPr>
              <w:t>. Warszawa: Scholar, s. 17–140; 255–390; 425–520.</w:t>
            </w:r>
          </w:p>
          <w:p w14:paraId="74968264" w14:textId="77777777" w:rsidR="00E26130" w:rsidRPr="00A97F29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A97F29">
              <w:rPr>
                <w:rFonts w:ascii="Times New Roman" w:eastAsia="Times New Roman" w:hAnsi="Times New Roman" w:cs="Times New Roman"/>
                <w:lang w:val="en-US"/>
              </w:rPr>
              <w:t xml:space="preserve">4. Myers, D. G., Twenge, J. M. (2021). </w:t>
            </w:r>
            <w:r w:rsidRPr="00A97F2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Social Psychology</w:t>
            </w:r>
            <w:r w:rsidRPr="00A97F29">
              <w:rPr>
                <w:rFonts w:ascii="Times New Roman" w:eastAsia="Times New Roman" w:hAnsi="Times New Roman" w:cs="Times New Roman"/>
                <w:lang w:val="en-US"/>
              </w:rPr>
              <w:t>. New York, NY: McGraw-Hill Education.</w:t>
            </w:r>
            <w:r w:rsidRPr="00A97F29">
              <w:rPr>
                <w:rFonts w:ascii="Times New Roman" w:eastAsia="Times New Roman" w:hAnsi="Times New Roman" w:cs="Times New Roman"/>
                <w:lang w:val="en-US"/>
              </w:rPr>
              <w:br/>
              <w:t>s. 1–180; 215–340; 375–460.</w:t>
            </w:r>
          </w:p>
        </w:tc>
      </w:tr>
      <w:tr w:rsidR="00E26130" w14:paraId="6E2C04B9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3DB800BF" w14:textId="77777777" w:rsidR="00E261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</w:t>
            </w:r>
          </w:p>
          <w:p w14:paraId="57016DC3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1.    </w:t>
            </w:r>
            <w:r>
              <w:rPr>
                <w:rFonts w:ascii="Times New Roman" w:eastAsia="Times New Roman" w:hAnsi="Times New Roman" w:cs="Times New Roman"/>
              </w:rPr>
              <w:t>Adler R. B., Rosenfeld L. B., Proctor II R. F. (2021).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Relacje interpersonalne. Proces porozumiewania się. </w:t>
            </w:r>
            <w:r>
              <w:rPr>
                <w:rFonts w:ascii="Times New Roman" w:eastAsia="Times New Roman" w:hAnsi="Times New Roman" w:cs="Times New Roman"/>
              </w:rPr>
              <w:t>Poznań: Dom Wydawniczy REBIS, s. 15–180; 205–310.</w:t>
            </w:r>
          </w:p>
          <w:p w14:paraId="6CDCAB87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     Cialdini R. B. (2023).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Wywieranie wpływu na ludzi. Teoria i praktyka.</w:t>
            </w:r>
            <w:r>
              <w:rPr>
                <w:rFonts w:ascii="Times New Roman" w:eastAsia="Times New Roman" w:hAnsi="Times New Roman" w:cs="Times New Roman"/>
              </w:rPr>
              <w:t> Gdańsk: Gdańskie Wydawnictwo Psychologiczne, s. 33–210; 235–320.</w:t>
            </w:r>
          </w:p>
          <w:p w14:paraId="68AD4424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   Farnicka, M., Liberska, H., Niewiedział, D. (2016).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agresji: Wybrane problemy</w:t>
            </w:r>
            <w:r>
              <w:rPr>
                <w:rFonts w:ascii="Times New Roman" w:eastAsia="Times New Roman" w:hAnsi="Times New Roman" w:cs="Times New Roman"/>
              </w:rPr>
              <w:t>. Warszawa: Wydawnictwo Naukowe PWN, s. 15–180; 205–310.</w:t>
            </w:r>
          </w:p>
          <w:p w14:paraId="5A1BFAB5" w14:textId="77777777" w:rsidR="00E26130" w:rsidRPr="00A97F29" w:rsidRDefault="00000000">
            <w:pPr>
              <w:ind w:left="0" w:hanging="2"/>
              <w:rPr>
                <w:rFonts w:ascii="Times New Roman" w:eastAsia="Times New Roman" w:hAnsi="Times New Roman" w:cs="Times New Roman"/>
                <w:lang w:val="en-US"/>
              </w:rPr>
            </w:pPr>
            <w:r w:rsidRPr="00A97F29">
              <w:rPr>
                <w:rFonts w:ascii="Times New Roman" w:eastAsia="Times New Roman" w:hAnsi="Times New Roman" w:cs="Times New Roman"/>
                <w:lang w:val="en-US"/>
              </w:rPr>
              <w:t xml:space="preserve">4.     House, B. R., Kanngiesser, P., Barrett, H. C., Broesch, T., Cebioglu, S., Crittenden, A. N., Erut, A., Lew-Levy, S., Sebastian-Enesco, C., Smith, A. M., Yilmaz, S., Silk, J. B. (2019). Universal norm psychology leads to </w:t>
            </w:r>
            <w:r w:rsidRPr="00A97F29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societal diversity in prosocial behaviour and development. </w:t>
            </w:r>
            <w:r w:rsidRPr="00A97F2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Nature Human Behaviour, 4</w:t>
            </w:r>
            <w:r w:rsidRPr="00A97F29">
              <w:rPr>
                <w:rFonts w:ascii="Times New Roman" w:eastAsia="Times New Roman" w:hAnsi="Times New Roman" w:cs="Times New Roman"/>
                <w:lang w:val="en-US"/>
              </w:rPr>
              <w:t xml:space="preserve">(1), 36–44. </w:t>
            </w:r>
            <w:hyperlink r:id="rId9">
              <w:r w:rsidR="00E26130" w:rsidRPr="00A97F29">
                <w:rPr>
                  <w:rFonts w:ascii="Times New Roman" w:eastAsia="Times New Roman" w:hAnsi="Times New Roman" w:cs="Times New Roman"/>
                  <w:lang w:val="en-US"/>
                </w:rPr>
                <w:t>https://doi.org/10.1038/s41562-019-0734-z</w:t>
              </w:r>
            </w:hyperlink>
          </w:p>
          <w:p w14:paraId="7E6DE597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 w:rsidRPr="00A97F29">
              <w:rPr>
                <w:rFonts w:ascii="Times New Roman" w:eastAsia="Times New Roman" w:hAnsi="Times New Roman" w:cs="Times New Roman"/>
                <w:lang w:val="en-US"/>
              </w:rPr>
              <w:t>5.     Kenrick, D.T., Neuberg, Cialdini, R. B. (2006).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społeczna. Rozwiązane tajemnice</w:t>
            </w:r>
            <w:r>
              <w:rPr>
                <w:rFonts w:ascii="Times New Roman" w:eastAsia="Times New Roman" w:hAnsi="Times New Roman" w:cs="Times New Roman"/>
              </w:rPr>
              <w:t>. Gdańsk: Gdańsk: Gdańskie Wydawnictwo Psychologiczne, s. 21–150; 185–320.</w:t>
            </w:r>
          </w:p>
          <w:p w14:paraId="590DCB03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     Sęk H. (2018).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Społeczna psychologia społeczna</w:t>
            </w:r>
            <w:r>
              <w:rPr>
                <w:rFonts w:ascii="Times New Roman" w:eastAsia="Times New Roman" w:hAnsi="Times New Roman" w:cs="Times New Roman"/>
              </w:rPr>
              <w:t>. Warszawa: Wydawnictwo naukowe PWN, s. 17–160; 195–340.</w:t>
            </w:r>
          </w:p>
          <w:p w14:paraId="0132275B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     Wojciszke, B. (2006).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Człowiek wśród ludzi. Zarys psychologii społecznej</w:t>
            </w:r>
            <w:r>
              <w:rPr>
                <w:rFonts w:ascii="Times New Roman" w:eastAsia="Times New Roman" w:hAnsi="Times New Roman" w:cs="Times New Roman"/>
              </w:rPr>
              <w:t>. Warszawa: Scholar, s. 563–640; 665–720.</w:t>
            </w:r>
          </w:p>
          <w:p w14:paraId="7C1C8BCC" w14:textId="77777777" w:rsidR="00E26130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  Wojciszke B., Doliński D. (2018). Psychologia społeczna. W: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J. Strelau, D. Doliński (red.), 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Psychologia. Podręcznik akademicki</w:t>
            </w:r>
            <w:r>
              <w:rPr>
                <w:rFonts w:ascii="Times New Roman" w:eastAsia="Times New Roman" w:hAnsi="Times New Roman" w:cs="Times New Roman"/>
              </w:rPr>
              <w:t>. Gdańsk: GWP (tom 2), s. 563–640; 665–720.</w:t>
            </w:r>
          </w:p>
        </w:tc>
      </w:tr>
      <w:tr w:rsidR="00E26130" w14:paraId="50D18A2E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29BE1D14" w14:textId="77777777" w:rsidR="00E261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Sposoby oceny (f – formująca, p – podsumowująca): </w:t>
            </w:r>
          </w:p>
          <w:p w14:paraId="7D6E4315" w14:textId="77777777" w:rsidR="00E261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F1-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ocena aktywności na zajęciach</w:t>
            </w:r>
          </w:p>
          <w:p w14:paraId="0A106D06" w14:textId="77777777" w:rsidR="00E261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F2 –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projekt badawczy, kolokwium</w:t>
            </w:r>
          </w:p>
          <w:p w14:paraId="33334457" w14:textId="77777777" w:rsidR="00E261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egzamin pisemny (test jednokrotnego wyboru) </w:t>
            </w:r>
          </w:p>
        </w:tc>
      </w:tr>
      <w:tr w:rsidR="00E26130" w14:paraId="0BC8CCF1" w14:textId="77777777">
        <w:trPr>
          <w:trHeight w:val="575"/>
          <w:jc w:val="center"/>
        </w:trPr>
        <w:tc>
          <w:tcPr>
            <w:tcW w:w="5099" w:type="dxa"/>
            <w:gridSpan w:val="5"/>
            <w:vAlign w:val="center"/>
          </w:tcPr>
          <w:p w14:paraId="11AEF8FB" w14:textId="77777777" w:rsidR="00E261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5099" w:type="dxa"/>
            <w:gridSpan w:val="6"/>
            <w:vAlign w:val="center"/>
          </w:tcPr>
          <w:p w14:paraId="009268BD" w14:textId="77777777" w:rsidR="00E261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E26130" w14:paraId="2471551B" w14:textId="77777777">
        <w:trPr>
          <w:trHeight w:val="575"/>
          <w:jc w:val="center"/>
        </w:trPr>
        <w:tc>
          <w:tcPr>
            <w:tcW w:w="5099" w:type="dxa"/>
            <w:gridSpan w:val="5"/>
            <w:vAlign w:val="center"/>
          </w:tcPr>
          <w:p w14:paraId="316AE875" w14:textId="77777777" w:rsidR="00E261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</w:t>
            </w:r>
          </w:p>
        </w:tc>
        <w:tc>
          <w:tcPr>
            <w:tcW w:w="5099" w:type="dxa"/>
            <w:gridSpan w:val="6"/>
            <w:vAlign w:val="center"/>
          </w:tcPr>
          <w:p w14:paraId="6D64AA9A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Egzamin pisemny (test jednokrotnego wyboru)</w:t>
            </w:r>
            <w:r>
              <w:rPr>
                <w:rFonts w:ascii="Times New Roman" w:eastAsia="Times New Roman" w:hAnsi="Times New Roman" w:cs="Times New Roman"/>
              </w:rPr>
              <w:br/>
              <w:t>Egzamin obejmuje 24 pytania zamknięte (1 punkt za każde pytanie) – zgodnie z arkuszem egzaminacyjnym .</w:t>
            </w:r>
          </w:p>
          <w:p w14:paraId="49F1D330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</w:t>
            </w:r>
          </w:p>
          <w:p w14:paraId="5D3FB69F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Kryteria ocen (progi procentowe)</w:t>
            </w:r>
          </w:p>
          <w:p w14:paraId="704DD7F6" w14:textId="77777777" w:rsidR="00E26130" w:rsidRDefault="00000000">
            <w:pPr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5,0 (bardzo dobry): 91–100% (23-24 p.)</w:t>
            </w:r>
          </w:p>
          <w:p w14:paraId="7562EF47" w14:textId="77777777" w:rsidR="00E26130" w:rsidRDefault="00000000">
            <w:pPr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4,5 (dobry plus): 81–90% (21-22 p.)</w:t>
            </w:r>
          </w:p>
          <w:p w14:paraId="6F825AD2" w14:textId="77777777" w:rsidR="00E26130" w:rsidRDefault="00000000">
            <w:pPr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4,0 (dobry): 71–80% (19-20 p.)</w:t>
            </w:r>
          </w:p>
          <w:p w14:paraId="76E31702" w14:textId="77777777" w:rsidR="00E26130" w:rsidRDefault="00000000">
            <w:pPr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3,5 (dostateczny plus): 61–70% (16-18 p.)</w:t>
            </w:r>
          </w:p>
          <w:p w14:paraId="00F69726" w14:textId="77777777" w:rsidR="00E26130" w:rsidRDefault="00000000">
            <w:pPr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3,0 (dostateczny): 51–60% (13-15 p.)</w:t>
            </w:r>
          </w:p>
          <w:p w14:paraId="0F11442E" w14:textId="77777777" w:rsidR="00E26130" w:rsidRDefault="00000000">
            <w:pPr>
              <w:numPr>
                <w:ilvl w:val="0"/>
                <w:numId w:val="2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 (niedostateczny): poniżej 51% (0-12 p.)</w:t>
            </w:r>
          </w:p>
        </w:tc>
      </w:tr>
      <w:tr w:rsidR="00E26130" w14:paraId="1184DF34" w14:textId="77777777">
        <w:trPr>
          <w:trHeight w:val="575"/>
          <w:jc w:val="center"/>
        </w:trPr>
        <w:tc>
          <w:tcPr>
            <w:tcW w:w="5099" w:type="dxa"/>
            <w:gridSpan w:val="5"/>
            <w:vAlign w:val="center"/>
          </w:tcPr>
          <w:p w14:paraId="2ADABB39" w14:textId="77777777" w:rsidR="00E261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</w:tc>
        <w:tc>
          <w:tcPr>
            <w:tcW w:w="5099" w:type="dxa"/>
            <w:gridSpan w:val="6"/>
            <w:vAlign w:val="center"/>
          </w:tcPr>
          <w:p w14:paraId="244D43B3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 uzyskania zaliczenia z ćwiczeń:</w:t>
            </w:r>
          </w:p>
          <w:p w14:paraId="432AFEE2" w14:textId="77777777" w:rsidR="00E26130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Minimum 80% obecności</w:t>
            </w:r>
            <w:r>
              <w:rPr>
                <w:rFonts w:ascii="Times New Roman" w:eastAsia="Times New Roman" w:hAnsi="Times New Roman" w:cs="Times New Roman"/>
              </w:rPr>
              <w:t xml:space="preserve"> na zajęciach.</w:t>
            </w:r>
          </w:p>
          <w:p w14:paraId="638105EB" w14:textId="77777777" w:rsidR="00E26130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Aktywność na zajęciach</w:t>
            </w:r>
            <w:r>
              <w:rPr>
                <w:rFonts w:ascii="Times New Roman" w:eastAsia="Times New Roman" w:hAnsi="Times New Roman" w:cs="Times New Roman"/>
              </w:rPr>
              <w:t xml:space="preserve"> (udział w dyskusjach podczas omawiania zagadnień, praca w grupach, debaty oksfordzkie).</w:t>
            </w:r>
          </w:p>
          <w:p w14:paraId="67CCFA69" w14:textId="77777777" w:rsidR="00E26130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Projekt badawczy realizowany w grupach (3–4 osoby)</w:t>
            </w:r>
            <w:r>
              <w:rPr>
                <w:rFonts w:ascii="Times New Roman" w:eastAsia="Times New Roman" w:hAnsi="Times New Roman" w:cs="Times New Roman"/>
              </w:rPr>
              <w:t xml:space="preserve"> – zgodnie z wytycznymi, obejmujący:</w:t>
            </w:r>
          </w:p>
          <w:p w14:paraId="3DAF7984" w14:textId="77777777" w:rsidR="00E26130" w:rsidRDefault="00000000">
            <w:pPr>
              <w:numPr>
                <w:ilvl w:val="1"/>
                <w:numId w:val="3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sformułowanie problemu badawczego,</w:t>
            </w:r>
          </w:p>
          <w:p w14:paraId="0FD5A1F6" w14:textId="77777777" w:rsidR="00E26130" w:rsidRDefault="00000000">
            <w:pPr>
              <w:numPr>
                <w:ilvl w:val="1"/>
                <w:numId w:val="3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określenie hipotez i zmiennych,</w:t>
            </w:r>
          </w:p>
          <w:p w14:paraId="11B30827" w14:textId="77777777" w:rsidR="00E26130" w:rsidRDefault="00000000">
            <w:pPr>
              <w:numPr>
                <w:ilvl w:val="1"/>
                <w:numId w:val="3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dobór metody badawczej,</w:t>
            </w:r>
          </w:p>
          <w:p w14:paraId="1C4C72F9" w14:textId="77777777" w:rsidR="00E26130" w:rsidRDefault="00000000">
            <w:pPr>
              <w:numPr>
                <w:ilvl w:val="1"/>
                <w:numId w:val="3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przeprowadzenie badania,</w:t>
            </w:r>
          </w:p>
          <w:p w14:paraId="3BE373C7" w14:textId="77777777" w:rsidR="00E26130" w:rsidRDefault="00000000">
            <w:pPr>
              <w:numPr>
                <w:ilvl w:val="1"/>
                <w:numId w:val="3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analizę i interpretację wyników,</w:t>
            </w:r>
          </w:p>
          <w:p w14:paraId="1FDD7169" w14:textId="77777777" w:rsidR="00E26130" w:rsidRDefault="00000000">
            <w:pPr>
              <w:numPr>
                <w:ilvl w:val="1"/>
                <w:numId w:val="3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raportu w formie prezentacji PowerPoint (zamieszczenie w zadaniu na Moodle i omówienie na zajęciach).</w:t>
            </w:r>
          </w:p>
          <w:p w14:paraId="0D549400" w14:textId="77777777" w:rsidR="00E26130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Prezentacja indywidualna wybranego zagadnienia teoretycznego</w:t>
            </w:r>
            <w:r>
              <w:rPr>
                <w:rFonts w:ascii="Times New Roman" w:eastAsia="Times New Roman" w:hAnsi="Times New Roman" w:cs="Times New Roman"/>
              </w:rPr>
              <w:t xml:space="preserve"> ok. 15-20 slajdów w PowerPoint, bibliografia, pytania do dyskusji – zgodnie z zasadami (zamieszczenie w zadaniu na Moodle i omówienie na zajęciach).</w:t>
            </w:r>
          </w:p>
          <w:p w14:paraId="00BE8917" w14:textId="77777777" w:rsidR="00E26130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Zaliczenie z ćwiczeń jest ustalane na podstawie:</w:t>
            </w:r>
          </w:p>
          <w:p w14:paraId="289DD69A" w14:textId="77777777" w:rsidR="00E26130" w:rsidRDefault="00000000">
            <w:pPr>
              <w:numPr>
                <w:ilvl w:val="0"/>
                <w:numId w:val="1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jakości projektu badawczego,</w:t>
            </w:r>
          </w:p>
          <w:p w14:paraId="4A3EA1F8" w14:textId="77777777" w:rsidR="00E26130" w:rsidRDefault="00000000">
            <w:pPr>
              <w:numPr>
                <w:ilvl w:val="0"/>
                <w:numId w:val="1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prezentacji tematycznej wybranego zagadnienia oraz zaangażowania i formy dyskusji,</w:t>
            </w:r>
          </w:p>
          <w:p w14:paraId="5FD88C22" w14:textId="77777777" w:rsidR="00E26130" w:rsidRDefault="00000000">
            <w:pPr>
              <w:numPr>
                <w:ilvl w:val="0"/>
                <w:numId w:val="1"/>
              </w:num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obecności i aktywności na zajęciach.</w:t>
            </w:r>
          </w:p>
        </w:tc>
      </w:tr>
      <w:tr w:rsidR="00E26130" w14:paraId="37538387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3173821E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E26130" w14:paraId="182E5E18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19E9A896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33F55477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65B6282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E26130" w14:paraId="38F28D59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45DC8BF8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</w:tr>
      <w:tr w:rsidR="00E26130" w14:paraId="07B44D1D" w14:textId="77777777">
        <w:trPr>
          <w:trHeight w:val="546"/>
          <w:jc w:val="center"/>
        </w:trPr>
        <w:tc>
          <w:tcPr>
            <w:tcW w:w="1519" w:type="dxa"/>
          </w:tcPr>
          <w:p w14:paraId="4C256A85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7"/>
          </w:tcPr>
          <w:p w14:paraId="52744C5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Posiada pogłębioną i uporządkowaną wiedzę o mechanizmach społecznego funkcjonowania człowieka i struktur społecznych oraz potrafi krytycznie interpretować wyniki badań i ich zastosowania w praktyce.</w:t>
            </w:r>
          </w:p>
        </w:tc>
        <w:tc>
          <w:tcPr>
            <w:tcW w:w="2482" w:type="dxa"/>
            <w:gridSpan w:val="3"/>
          </w:tcPr>
          <w:p w14:paraId="52A10E74" w14:textId="2F9FD004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K_W10 </w:t>
            </w:r>
          </w:p>
        </w:tc>
      </w:tr>
      <w:tr w:rsidR="00E26130" w14:paraId="0D908AA2" w14:textId="77777777">
        <w:trPr>
          <w:trHeight w:val="567"/>
          <w:jc w:val="center"/>
        </w:trPr>
        <w:tc>
          <w:tcPr>
            <w:tcW w:w="1519" w:type="dxa"/>
          </w:tcPr>
          <w:p w14:paraId="2AFF0443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7" w:type="dxa"/>
            <w:gridSpan w:val="7"/>
          </w:tcPr>
          <w:p w14:paraId="1453570F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Analizuje i porównuje teorie wyjaśniające funkcjonowanie człowieka w kontekście społecznym; wskazuje ich moc wyjaśniającą i ograniczenia oraz konsekwencje dla interpretacji zjawisk społecznych.</w:t>
            </w:r>
          </w:p>
        </w:tc>
        <w:tc>
          <w:tcPr>
            <w:tcW w:w="2482" w:type="dxa"/>
            <w:gridSpan w:val="3"/>
          </w:tcPr>
          <w:p w14:paraId="5C3F9052" w14:textId="7ACA3772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K_W01    K_W1</w:t>
            </w:r>
            <w:r w:rsidR="00DD514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E26130" w14:paraId="4A2D2FB8" w14:textId="77777777">
        <w:trPr>
          <w:trHeight w:val="373"/>
          <w:jc w:val="center"/>
        </w:trPr>
        <w:tc>
          <w:tcPr>
            <w:tcW w:w="10198" w:type="dxa"/>
            <w:gridSpan w:val="11"/>
            <w:shd w:val="clear" w:color="auto" w:fill="FFE599"/>
          </w:tcPr>
          <w:p w14:paraId="7D233174" w14:textId="77777777" w:rsidR="00E26130" w:rsidRDefault="00000000" w:rsidP="00A97F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5DCE4"/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</w:tr>
      <w:tr w:rsidR="00E26130" w14:paraId="55689263" w14:textId="77777777">
        <w:trPr>
          <w:trHeight w:val="567"/>
          <w:jc w:val="center"/>
        </w:trPr>
        <w:tc>
          <w:tcPr>
            <w:tcW w:w="1519" w:type="dxa"/>
          </w:tcPr>
          <w:p w14:paraId="428C73FE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7"/>
          </w:tcPr>
          <w:p w14:paraId="214AC26C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Stosuje pojęcia i modele psychologii społecznej do analitycznego opisu i interpretacji zachowań jednostek i grup; formułuje wnioski z uwzględnieniem alternatywnych wyjaśnień i kontekstu sytuacyjnego.</w:t>
            </w:r>
          </w:p>
        </w:tc>
        <w:tc>
          <w:tcPr>
            <w:tcW w:w="2482" w:type="dxa"/>
            <w:gridSpan w:val="3"/>
          </w:tcPr>
          <w:p w14:paraId="4C117955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K_U05 K_U11 K_U16</w:t>
            </w:r>
          </w:p>
        </w:tc>
      </w:tr>
      <w:tr w:rsidR="00E26130" w14:paraId="4BD047C2" w14:textId="77777777">
        <w:trPr>
          <w:trHeight w:val="567"/>
          <w:jc w:val="center"/>
        </w:trPr>
        <w:tc>
          <w:tcPr>
            <w:tcW w:w="1519" w:type="dxa"/>
          </w:tcPr>
          <w:p w14:paraId="27C4B80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197" w:type="dxa"/>
            <w:gridSpan w:val="7"/>
          </w:tcPr>
          <w:p w14:paraId="40D3E89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Projektuje działania dotyczące wywierania wpływu społecznego i zmiany postaw, uzasadniając dobór strategii w oparciu o dowody empiryczne oraz uwzględniając aspekty etyczne i ryzyka nadużyć.</w:t>
            </w:r>
          </w:p>
        </w:tc>
        <w:tc>
          <w:tcPr>
            <w:tcW w:w="2482" w:type="dxa"/>
            <w:gridSpan w:val="3"/>
          </w:tcPr>
          <w:p w14:paraId="1C8F983E" w14:textId="75902AB0" w:rsidR="00E26130" w:rsidRDefault="00DD5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K_U05  K_U16</w:t>
            </w:r>
          </w:p>
        </w:tc>
      </w:tr>
      <w:tr w:rsidR="00E26130" w14:paraId="2DF1C73A" w14:textId="77777777">
        <w:trPr>
          <w:trHeight w:val="567"/>
          <w:jc w:val="center"/>
        </w:trPr>
        <w:tc>
          <w:tcPr>
            <w:tcW w:w="1519" w:type="dxa"/>
          </w:tcPr>
          <w:p w14:paraId="105DB106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7"/>
          </w:tcPr>
          <w:p w14:paraId="755CFAF5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Wykazuje refleksyjność i odpowiedzialność w formułowaniu sądów o zachowaniu społecznym; rozpoznaje własne podatności na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mechanizmy poznawcze i społeczne, minimalizuje wpływ stereotypów w interpretacji sytuacji.</w:t>
            </w:r>
          </w:p>
        </w:tc>
        <w:tc>
          <w:tcPr>
            <w:tcW w:w="2482" w:type="dxa"/>
            <w:gridSpan w:val="3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9722B3" w:rsidRPr="009722B3" w14:paraId="31D7A8B0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2A37983A" w14:textId="77777777" w:rsidR="009722B3" w:rsidRPr="009722B3" w:rsidRDefault="009722B3" w:rsidP="009722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14:paraId="396F2395" w14:textId="77777777" w:rsidR="009722B3" w:rsidRPr="009722B3" w:rsidRDefault="009722B3" w:rsidP="009722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77"/>
            </w:tblGrid>
            <w:tr w:rsidR="009722B3" w:rsidRPr="009722B3" w14:paraId="6F5F6B2E" w14:textId="77777777">
              <w:trPr>
                <w:tblCellSpacing w:w="15" w:type="dxa"/>
              </w:trPr>
              <w:tc>
                <w:tcPr>
                  <w:tcW w:w="1617" w:type="dxa"/>
                  <w:vAlign w:val="center"/>
                  <w:hideMark/>
                </w:tcPr>
                <w:p w14:paraId="77B4D514" w14:textId="77777777" w:rsidR="009722B3" w:rsidRPr="009722B3" w:rsidRDefault="009722B3" w:rsidP="009722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22B3">
                    <w:rPr>
                      <w:rFonts w:ascii="Times New Roman" w:eastAsia="Times New Roman" w:hAnsi="Times New Roman" w:cs="Times New Roman"/>
                      <w:color w:val="000000"/>
                    </w:rPr>
                    <w:t>K_K05, K_K09</w:t>
                  </w:r>
                </w:p>
              </w:tc>
            </w:tr>
          </w:tbl>
          <w:p w14:paraId="0B1489A9" w14:textId="3DCADAC5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6130" w14:paraId="242E4FE1" w14:textId="77777777">
        <w:trPr>
          <w:trHeight w:val="567"/>
          <w:jc w:val="center"/>
        </w:trPr>
        <w:tc>
          <w:tcPr>
            <w:tcW w:w="1519" w:type="dxa"/>
          </w:tcPr>
          <w:p w14:paraId="2F74C3B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6197" w:type="dxa"/>
            <w:gridSpan w:val="7"/>
          </w:tcPr>
          <w:p w14:paraId="2D849CBE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Uznaje znaczenie czynników sytuacyjnych i kontekstowych jako determinant zachowania; jest gotów do weryfikowania intuicyjnych ocen i uwzględniania danych empirycznych w ocenie zjawisk społecznych.</w:t>
            </w:r>
          </w:p>
        </w:tc>
        <w:tc>
          <w:tcPr>
            <w:tcW w:w="2482" w:type="dxa"/>
            <w:gridSpan w:val="3"/>
          </w:tcPr>
          <w:p w14:paraId="537E026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K_K09</w:t>
            </w:r>
          </w:p>
        </w:tc>
      </w:tr>
      <w:tr w:rsidR="00E26130" w14:paraId="52277C5B" w14:textId="77777777">
        <w:trPr>
          <w:trHeight w:val="567"/>
          <w:jc w:val="center"/>
        </w:trPr>
        <w:tc>
          <w:tcPr>
            <w:tcW w:w="1519" w:type="dxa"/>
          </w:tcPr>
          <w:p w14:paraId="1FBB424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E3_K</w:t>
            </w:r>
          </w:p>
        </w:tc>
        <w:tc>
          <w:tcPr>
            <w:tcW w:w="6197" w:type="dxa"/>
            <w:gridSpan w:val="7"/>
          </w:tcPr>
          <w:p w14:paraId="6DE9977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Docenia wkład badań psychologii społecznej (w szczególności eksperymentalnych) w rozwój psychologii i nauk społecznych oraz znaczenie standardów metodologicznych i etycznych.</w:t>
            </w:r>
          </w:p>
        </w:tc>
        <w:tc>
          <w:tcPr>
            <w:tcW w:w="2482" w:type="dxa"/>
            <w:gridSpan w:val="3"/>
          </w:tcPr>
          <w:p w14:paraId="3563D678" w14:textId="71BF68F5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</w:t>
            </w:r>
            <w:r w:rsidR="009722B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E26130" w14:paraId="0CD9DBB5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4FDA82D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E26130" w14:paraId="468E3786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CCE565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2D237AB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5AE7795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12E6E83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D527A3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026AB80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E26130" w14:paraId="71772801" w14:textId="77777777">
        <w:trPr>
          <w:trHeight w:val="567"/>
          <w:jc w:val="center"/>
        </w:trPr>
        <w:tc>
          <w:tcPr>
            <w:tcW w:w="1519" w:type="dxa"/>
          </w:tcPr>
          <w:p w14:paraId="58F4EA57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</w:tcPr>
          <w:p w14:paraId="46CF0391" w14:textId="67C80E28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K_W10</w:t>
            </w:r>
          </w:p>
        </w:tc>
        <w:tc>
          <w:tcPr>
            <w:tcW w:w="1471" w:type="dxa"/>
            <w:gridSpan w:val="2"/>
          </w:tcPr>
          <w:p w14:paraId="0EC8A41A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Wykład: C1, C2, C3</w:t>
            </w:r>
          </w:p>
        </w:tc>
        <w:tc>
          <w:tcPr>
            <w:tcW w:w="2074" w:type="dxa"/>
            <w:gridSpan w:val="2"/>
          </w:tcPr>
          <w:p w14:paraId="424C256E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W1–W16</w:t>
            </w:r>
          </w:p>
        </w:tc>
        <w:tc>
          <w:tcPr>
            <w:tcW w:w="1871" w:type="dxa"/>
            <w:gridSpan w:val="4"/>
            <w:vAlign w:val="center"/>
          </w:tcPr>
          <w:p w14:paraId="7E44B856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Mk1, Mk3</w:t>
            </w:r>
          </w:p>
        </w:tc>
        <w:tc>
          <w:tcPr>
            <w:tcW w:w="1452" w:type="dxa"/>
            <w:vAlign w:val="center"/>
          </w:tcPr>
          <w:p w14:paraId="2D60B11B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E26130" w14:paraId="2C2AD231" w14:textId="77777777">
        <w:trPr>
          <w:trHeight w:val="567"/>
          <w:jc w:val="center"/>
        </w:trPr>
        <w:tc>
          <w:tcPr>
            <w:tcW w:w="1519" w:type="dxa"/>
          </w:tcPr>
          <w:p w14:paraId="0346AE58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811" w:type="dxa"/>
          </w:tcPr>
          <w:p w14:paraId="499B22BC" w14:textId="2D7D399B" w:rsidR="00E26130" w:rsidRDefault="009722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K_W01    K_W10</w:t>
            </w:r>
          </w:p>
        </w:tc>
        <w:tc>
          <w:tcPr>
            <w:tcW w:w="1471" w:type="dxa"/>
            <w:gridSpan w:val="2"/>
          </w:tcPr>
          <w:p w14:paraId="5F906C0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Wykład: C1, C2, C3</w:t>
            </w:r>
          </w:p>
        </w:tc>
        <w:tc>
          <w:tcPr>
            <w:tcW w:w="2074" w:type="dxa"/>
            <w:gridSpan w:val="2"/>
          </w:tcPr>
          <w:p w14:paraId="428E12D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W1, W4–W12, W16</w:t>
            </w:r>
          </w:p>
        </w:tc>
        <w:tc>
          <w:tcPr>
            <w:tcW w:w="1871" w:type="dxa"/>
            <w:gridSpan w:val="4"/>
            <w:vAlign w:val="center"/>
          </w:tcPr>
          <w:p w14:paraId="5F751C4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Mk1, Mk3</w:t>
            </w:r>
          </w:p>
        </w:tc>
        <w:tc>
          <w:tcPr>
            <w:tcW w:w="1452" w:type="dxa"/>
            <w:vAlign w:val="center"/>
          </w:tcPr>
          <w:p w14:paraId="2ACA40F5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E26130" w14:paraId="76971812" w14:textId="77777777">
        <w:trPr>
          <w:trHeight w:val="567"/>
          <w:jc w:val="center"/>
        </w:trPr>
        <w:tc>
          <w:tcPr>
            <w:tcW w:w="1519" w:type="dxa"/>
          </w:tcPr>
          <w:p w14:paraId="01CE7DD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</w:tcPr>
          <w:p w14:paraId="69BD707F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K_U05 K_U11 K_U16</w:t>
            </w:r>
          </w:p>
        </w:tc>
        <w:tc>
          <w:tcPr>
            <w:tcW w:w="1471" w:type="dxa"/>
            <w:gridSpan w:val="2"/>
          </w:tcPr>
          <w:p w14:paraId="2391B379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C2</w:t>
            </w:r>
          </w:p>
        </w:tc>
        <w:tc>
          <w:tcPr>
            <w:tcW w:w="2074" w:type="dxa"/>
            <w:gridSpan w:val="2"/>
          </w:tcPr>
          <w:p w14:paraId="279EF2B0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W4–W12; Ć2–Ć10</w:t>
            </w:r>
          </w:p>
        </w:tc>
        <w:tc>
          <w:tcPr>
            <w:tcW w:w="1871" w:type="dxa"/>
            <w:gridSpan w:val="4"/>
            <w:vAlign w:val="center"/>
          </w:tcPr>
          <w:p w14:paraId="17D11997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Style w:val="a0"/>
              <w:tblW w:w="110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10"/>
            </w:tblGrid>
            <w:tr w:rsidR="00E26130" w14:paraId="6F844DFD" w14:textId="77777777">
              <w:tc>
                <w:tcPr>
                  <w:tcW w:w="110" w:type="dxa"/>
                  <w:vAlign w:val="center"/>
                </w:tcPr>
                <w:p w14:paraId="4BCF6C8D" w14:textId="77777777" w:rsidR="00E26130" w:rsidRDefault="00E2613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14:paraId="41B0CAE9" w14:textId="77777777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Style w:val="a1"/>
              <w:tblW w:w="1770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770"/>
            </w:tblGrid>
            <w:tr w:rsidR="00E26130" w14:paraId="622EACF5" w14:textId="77777777">
              <w:tc>
                <w:tcPr>
                  <w:tcW w:w="1770" w:type="dxa"/>
                  <w:vAlign w:val="center"/>
                </w:tcPr>
                <w:p w14:paraId="36652AFB" w14:textId="77777777" w:rsidR="00E26130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Mk2, Mk3, Mk4</w:t>
                  </w:r>
                </w:p>
              </w:tc>
            </w:tr>
          </w:tbl>
          <w:p w14:paraId="33AE21AD" w14:textId="77777777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2" w:type="dxa"/>
            <w:vAlign w:val="center"/>
          </w:tcPr>
          <w:p w14:paraId="3A4EA830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F1,F2</w:t>
            </w:r>
          </w:p>
        </w:tc>
      </w:tr>
      <w:tr w:rsidR="00E26130" w14:paraId="0A7F6C20" w14:textId="77777777">
        <w:trPr>
          <w:trHeight w:val="395"/>
          <w:jc w:val="center"/>
        </w:trPr>
        <w:tc>
          <w:tcPr>
            <w:tcW w:w="1519" w:type="dxa"/>
          </w:tcPr>
          <w:p w14:paraId="1D83543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811" w:type="dxa"/>
          </w:tcPr>
          <w:p w14:paraId="524193C5" w14:textId="481B5E87" w:rsidR="00E26130" w:rsidRDefault="009722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K_U05  K_U16</w:t>
            </w:r>
          </w:p>
        </w:tc>
        <w:tc>
          <w:tcPr>
            <w:tcW w:w="1471" w:type="dxa"/>
            <w:gridSpan w:val="2"/>
          </w:tcPr>
          <w:p w14:paraId="38CEE0B5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C1, C3</w:t>
            </w:r>
          </w:p>
        </w:tc>
        <w:tc>
          <w:tcPr>
            <w:tcW w:w="2074" w:type="dxa"/>
            <w:gridSpan w:val="2"/>
          </w:tcPr>
          <w:p w14:paraId="738F480F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W9, W16; Ć1, Ć6–Ć9</w:t>
            </w:r>
          </w:p>
        </w:tc>
        <w:tc>
          <w:tcPr>
            <w:tcW w:w="1871" w:type="dxa"/>
            <w:gridSpan w:val="4"/>
            <w:vAlign w:val="center"/>
          </w:tcPr>
          <w:p w14:paraId="5ACC4C27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Mk2, Mk3, Mk4</w:t>
            </w:r>
          </w:p>
        </w:tc>
        <w:tc>
          <w:tcPr>
            <w:tcW w:w="1452" w:type="dxa"/>
            <w:vAlign w:val="center"/>
          </w:tcPr>
          <w:p w14:paraId="6A9252C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F1,F2</w:t>
            </w:r>
          </w:p>
        </w:tc>
      </w:tr>
      <w:tr w:rsidR="00E26130" w14:paraId="5D1746F2" w14:textId="77777777">
        <w:trPr>
          <w:trHeight w:val="567"/>
          <w:jc w:val="center"/>
        </w:trPr>
        <w:tc>
          <w:tcPr>
            <w:tcW w:w="1519" w:type="dxa"/>
          </w:tcPr>
          <w:p w14:paraId="5563BF7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77"/>
            </w:tblGrid>
            <w:tr w:rsidR="009722B3" w:rsidRPr="009722B3" w14:paraId="038ECFD7" w14:textId="77777777" w:rsidTr="00913185">
              <w:trPr>
                <w:tblCellSpacing w:w="15" w:type="dxa"/>
              </w:trPr>
              <w:tc>
                <w:tcPr>
                  <w:tcW w:w="1617" w:type="dxa"/>
                  <w:vAlign w:val="center"/>
                  <w:hideMark/>
                </w:tcPr>
                <w:p w14:paraId="0286AC5B" w14:textId="77777777" w:rsidR="009722B3" w:rsidRPr="009722B3" w:rsidRDefault="009722B3" w:rsidP="009722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9722B3">
                    <w:rPr>
                      <w:rFonts w:ascii="Times New Roman" w:eastAsia="Times New Roman" w:hAnsi="Times New Roman" w:cs="Times New Roman"/>
                      <w:color w:val="000000"/>
                    </w:rPr>
                    <w:t>K_K05, K_K09</w:t>
                  </w:r>
                </w:p>
              </w:tc>
            </w:tr>
          </w:tbl>
          <w:p w14:paraId="6EB45E9D" w14:textId="376A4285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gridSpan w:val="2"/>
          </w:tcPr>
          <w:p w14:paraId="189EA3F3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C2, C3</w:t>
            </w:r>
          </w:p>
        </w:tc>
        <w:tc>
          <w:tcPr>
            <w:tcW w:w="2074" w:type="dxa"/>
            <w:gridSpan w:val="2"/>
          </w:tcPr>
          <w:p w14:paraId="19045EF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W4–W7, W16; Ć6–Ć10</w:t>
            </w:r>
          </w:p>
        </w:tc>
        <w:tc>
          <w:tcPr>
            <w:tcW w:w="1871" w:type="dxa"/>
            <w:gridSpan w:val="4"/>
            <w:vAlign w:val="center"/>
          </w:tcPr>
          <w:p w14:paraId="57BB303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Mk2, Mk3, Mk4</w:t>
            </w:r>
          </w:p>
        </w:tc>
        <w:tc>
          <w:tcPr>
            <w:tcW w:w="1452" w:type="dxa"/>
            <w:vAlign w:val="center"/>
          </w:tcPr>
          <w:p w14:paraId="4334D68A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F2</w:t>
            </w:r>
          </w:p>
        </w:tc>
      </w:tr>
      <w:tr w:rsidR="00E26130" w14:paraId="58BC89D5" w14:textId="77777777">
        <w:trPr>
          <w:trHeight w:val="70"/>
          <w:jc w:val="center"/>
        </w:trPr>
        <w:tc>
          <w:tcPr>
            <w:tcW w:w="1519" w:type="dxa"/>
          </w:tcPr>
          <w:p w14:paraId="6109917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1811" w:type="dxa"/>
          </w:tcPr>
          <w:p w14:paraId="471DB2F5" w14:textId="27881BD5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</w:t>
            </w:r>
            <w:r w:rsidR="009722B3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471" w:type="dxa"/>
            <w:gridSpan w:val="2"/>
          </w:tcPr>
          <w:p w14:paraId="59673419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Ćwiczenia: C2</w:t>
            </w:r>
          </w:p>
        </w:tc>
        <w:tc>
          <w:tcPr>
            <w:tcW w:w="2074" w:type="dxa"/>
            <w:gridSpan w:val="2"/>
          </w:tcPr>
          <w:p w14:paraId="67468DC7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W1, W4–W7; Ć1, Ć9–Ć10</w:t>
            </w:r>
          </w:p>
        </w:tc>
        <w:tc>
          <w:tcPr>
            <w:tcW w:w="1871" w:type="dxa"/>
            <w:gridSpan w:val="4"/>
            <w:vAlign w:val="center"/>
          </w:tcPr>
          <w:p w14:paraId="18B9FE50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Mk2, Mk3, Mk4</w:t>
            </w:r>
          </w:p>
        </w:tc>
        <w:tc>
          <w:tcPr>
            <w:tcW w:w="1452" w:type="dxa"/>
            <w:vAlign w:val="center"/>
          </w:tcPr>
          <w:p w14:paraId="325DEF9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F1,F2</w:t>
            </w:r>
          </w:p>
        </w:tc>
      </w:tr>
      <w:tr w:rsidR="00E26130" w14:paraId="7CDB2942" w14:textId="77777777">
        <w:trPr>
          <w:trHeight w:val="567"/>
          <w:jc w:val="center"/>
        </w:trPr>
        <w:tc>
          <w:tcPr>
            <w:tcW w:w="1519" w:type="dxa"/>
          </w:tcPr>
          <w:p w14:paraId="54008965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E3_K</w:t>
            </w:r>
          </w:p>
        </w:tc>
        <w:tc>
          <w:tcPr>
            <w:tcW w:w="1811" w:type="dxa"/>
          </w:tcPr>
          <w:p w14:paraId="33A3B970" w14:textId="607267F9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</w:t>
            </w:r>
            <w:r w:rsidR="009722B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71" w:type="dxa"/>
            <w:gridSpan w:val="2"/>
          </w:tcPr>
          <w:p w14:paraId="2B0DDE0C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Style w:val="a2"/>
              <w:tblW w:w="110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10"/>
            </w:tblGrid>
            <w:tr w:rsidR="00E26130" w14:paraId="46786D5C" w14:textId="77777777">
              <w:tc>
                <w:tcPr>
                  <w:tcW w:w="110" w:type="dxa"/>
                  <w:vAlign w:val="center"/>
                </w:tcPr>
                <w:p w14:paraId="4E0C3C77" w14:textId="77777777" w:rsidR="00E26130" w:rsidRDefault="00E2613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14:paraId="15082AE1" w14:textId="77777777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Style w:val="a3"/>
              <w:tblW w:w="3324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3324"/>
            </w:tblGrid>
            <w:tr w:rsidR="00E26130" w14:paraId="42F65DD8" w14:textId="77777777">
              <w:tc>
                <w:tcPr>
                  <w:tcW w:w="3324" w:type="dxa"/>
                  <w:vAlign w:val="center"/>
                </w:tcPr>
                <w:p w14:paraId="7561C603" w14:textId="77777777" w:rsidR="00E26130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Wykład: C2, C4; Ćwiczenia: C1</w:t>
                  </w:r>
                </w:p>
              </w:tc>
            </w:tr>
          </w:tbl>
          <w:p w14:paraId="007B11F2" w14:textId="77777777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74" w:type="dxa"/>
            <w:gridSpan w:val="2"/>
          </w:tcPr>
          <w:p w14:paraId="0C6C28AA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W2–W3; Ć1</w:t>
            </w:r>
          </w:p>
        </w:tc>
        <w:tc>
          <w:tcPr>
            <w:tcW w:w="1871" w:type="dxa"/>
            <w:gridSpan w:val="4"/>
          </w:tcPr>
          <w:p w14:paraId="2C60BAA2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Mk2, Mk3, Mk4</w:t>
            </w:r>
          </w:p>
        </w:tc>
        <w:tc>
          <w:tcPr>
            <w:tcW w:w="1452" w:type="dxa"/>
            <w:vAlign w:val="center"/>
          </w:tcPr>
          <w:p w14:paraId="15E492A9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F1,F2</w:t>
            </w:r>
          </w:p>
        </w:tc>
      </w:tr>
      <w:tr w:rsidR="00E26130" w14:paraId="4132126A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ECAB296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E26130" w14:paraId="5846EC2F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38F931F8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0" w:type="dxa"/>
            <w:gridSpan w:val="4"/>
            <w:vMerge w:val="restart"/>
            <w:shd w:val="clear" w:color="auto" w:fill="D5DCE4"/>
            <w:vAlign w:val="center"/>
          </w:tcPr>
          <w:p w14:paraId="4AFEB92E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2912FB7E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E26130" w14:paraId="6F67F163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33DFB7FE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Merge/>
            <w:shd w:val="clear" w:color="auto" w:fill="D5DCE4"/>
            <w:vAlign w:val="center"/>
          </w:tcPr>
          <w:p w14:paraId="28A25AD9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77840CEC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1FF0AEA0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E26130" w14:paraId="2A2CB5F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1A444D3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4"/>
            <w:vMerge w:val="restart"/>
            <w:vAlign w:val="center"/>
          </w:tcPr>
          <w:p w14:paraId="15F10ED3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5BD262A8" w14:textId="6E6B4B5A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485" w:type="dxa"/>
            <w:gridSpan w:val="2"/>
            <w:vAlign w:val="center"/>
          </w:tcPr>
          <w:p w14:paraId="311FC09B" w14:textId="279DCB6A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E26130" w14:paraId="3383D0C3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104D1B99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79287AC5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0FACEA1" w14:textId="683C52A3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485" w:type="dxa"/>
            <w:gridSpan w:val="2"/>
            <w:vAlign w:val="center"/>
          </w:tcPr>
          <w:p w14:paraId="50D5C217" w14:textId="40727470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E26130" w14:paraId="1C36031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2EC8B99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27B466B8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ED5572B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697DDA8B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26130" w14:paraId="15C9113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5F21D8E8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Praktyka studencka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308B1BAB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3B12B5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1ED96A20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26130" w14:paraId="4CCF42F6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5DA61850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47FF8AC8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17BECB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7A348B4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26130" w14:paraId="4853E41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648A51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6BF164E0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26B7CE3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746E58DC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26130" w14:paraId="521A5D6E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5561024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05A0DD59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7584F5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61E966D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26130" w14:paraId="476BC6EC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587F285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4"/>
            <w:vAlign w:val="center"/>
          </w:tcPr>
          <w:p w14:paraId="213A7FB9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5C429CF2" w14:textId="7DE57811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028BC75C" w14:textId="3A18CBF1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</w:tr>
      <w:tr w:rsidR="00E26130" w14:paraId="2E97B56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0CBB35EA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051004E3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529838C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34C6181C" w14:textId="1E08ECFB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A43FA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E26130" w14:paraId="4AF3A90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0D16F1FC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444E018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7F9E501E" w14:textId="52E9966A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485" w:type="dxa"/>
            <w:gridSpan w:val="2"/>
            <w:vAlign w:val="center"/>
          </w:tcPr>
          <w:p w14:paraId="77747D31" w14:textId="2492B0A0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A43FA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E26130" w14:paraId="3AF56074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00A83E80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5172568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2A6DF1A1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5" w:type="dxa"/>
            <w:gridSpan w:val="2"/>
            <w:vAlign w:val="center"/>
          </w:tcPr>
          <w:p w14:paraId="56DB6D1A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26130" w14:paraId="5A09B42C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72820C18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0216D947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419A2347" w14:textId="0B718D24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00000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85" w:type="dxa"/>
            <w:gridSpan w:val="2"/>
            <w:vAlign w:val="center"/>
          </w:tcPr>
          <w:p w14:paraId="51483442" w14:textId="6328EB3E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 w:rsidR="00E26130" w14:paraId="220B278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4151E0EA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7D2E3E2E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72146E5B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485" w:type="dxa"/>
            <w:gridSpan w:val="2"/>
            <w:vAlign w:val="center"/>
          </w:tcPr>
          <w:p w14:paraId="14DA9ECF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E26130" w14:paraId="31E73E2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20F7D543" w14:textId="77777777" w:rsidR="00E26130" w:rsidRDefault="00E26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tcBorders>
              <w:bottom w:val="single" w:sz="4" w:space="0" w:color="000000"/>
            </w:tcBorders>
            <w:vAlign w:val="center"/>
          </w:tcPr>
          <w:p w14:paraId="5EBD2ACD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1A1FF4E8" w14:textId="77777777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7033A7A" w14:textId="77777777" w:rsidR="00E26130" w:rsidRDefault="00E26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6130" w14:paraId="4742473F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0F47295F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380AC986" w14:textId="7824A194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485" w:type="dxa"/>
            <w:gridSpan w:val="2"/>
            <w:vAlign w:val="center"/>
          </w:tcPr>
          <w:p w14:paraId="10E1F35F" w14:textId="61F1C499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</w:t>
            </w:r>
          </w:p>
        </w:tc>
      </w:tr>
      <w:tr w:rsidR="00E26130" w14:paraId="6FA4F28A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54B41D84" w14:textId="77777777" w:rsidR="00E261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1CDD44CB" w14:textId="7E06F8F2" w:rsidR="00E26130" w:rsidRDefault="00A43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</w:tr>
    </w:tbl>
    <w:p w14:paraId="25F98D53" w14:textId="77777777" w:rsidR="00E26130" w:rsidRDefault="00E2613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71AF5FEC" w14:textId="77777777" w:rsidR="00E26130" w:rsidRDefault="00E2613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E26130">
      <w:footerReference w:type="default" r:id="rId10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67EE" w14:textId="77777777" w:rsidR="00422769" w:rsidRDefault="0042276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AE20D6E" w14:textId="77777777" w:rsidR="00422769" w:rsidRDefault="0042276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B1EA93A-7D56-9440-B8C7-3720F9377A73}"/>
    <w:embedBold r:id="rId2" w:fontKey="{ECE9F353-5950-5F4B-BCBE-9AF67A98E7F8}"/>
    <w:embedItalic r:id="rId3" w:fontKey="{4E7EF0A6-218B-B441-A9CD-B62D7DC79CE3}"/>
    <w:embedBoldItalic r:id="rId4" w:fontKey="{AAD50C68-4F1B-7D49-BBC7-995E66C69A1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499D040-5548-534D-B587-529EB270FDD1}"/>
    <w:embedBold r:id="rId6" w:fontKey="{81B6DB9D-3721-DA46-8572-BD136DD0224C}"/>
    <w:embedItalic r:id="rId7" w:fontKey="{3F15065C-4120-1949-9221-25E07A3823DA}"/>
    <w:embedBoldItalic r:id="rId8" w:fontKey="{6A148075-69F7-AA4F-B600-77FFF5FE73D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EF73C5DD-F4DA-0E44-BA32-D4BE1A976A8E}"/>
    <w:embedBold r:id="rId10" w:fontKey="{217332BA-53C6-6046-88DF-6F3DC6EEC74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8CC4D569-D129-884D-8137-7315EBACB3F3}"/>
    <w:embedBold r:id="rId12" w:fontKey="{19173860-EA3A-DF46-BFB2-527F5B14AE9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3" w:fontKey="{3DC6D9F1-225B-4142-986B-425D7362D4DC}"/>
    <w:embedBold r:id="rId14" w:fontKey="{2C1DA989-B94F-F945-9EC9-DA49458FDD3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5" w:fontKey="{C5143FDC-0BBB-0C42-8A5A-6020B308CDC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6" w:fontKey="{F03A09EE-5BDC-4E46-8A82-0902F218EB0E}"/>
    <w:embedItalic r:id="rId17" w:fontKey="{CF42D0E1-97F1-1349-B44A-10809786FDD5}"/>
  </w:font>
  <w:font w:name="EUAlbertina">
    <w:altName w:val="Cambria"/>
    <w:panose1 w:val="020B0604020202020204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9" w:fontKey="{67620EC0-6E50-0D47-AAC7-418EEC1E765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0" w:fontKey="{A70D19C9-8C48-A74B-8FFA-C766CDB7E2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139D" w14:textId="77777777" w:rsidR="00E2613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A97F29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DCD2AE1" w14:textId="77777777" w:rsidR="00E26130" w:rsidRDefault="00E261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E0602" w14:textId="77777777" w:rsidR="00422769" w:rsidRDefault="0042276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B8F3AC4" w14:textId="77777777" w:rsidR="00422769" w:rsidRDefault="00422769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5760C"/>
    <w:multiLevelType w:val="multilevel"/>
    <w:tmpl w:val="EDB86C5C"/>
    <w:lvl w:ilvl="0">
      <w:start w:val="1"/>
      <w:numFmt w:val="decimal"/>
      <w:lvlText w:val="%1."/>
      <w:lvlJc w:val="left"/>
      <w:pPr>
        <w:ind w:left="211" w:hanging="211"/>
      </w:pPr>
      <w:rPr>
        <w:smallCaps w:val="0"/>
        <w:strike w:val="0"/>
        <w:vertAlign w:val="baseline"/>
      </w:rPr>
    </w:lvl>
    <w:lvl w:ilvl="1">
      <w:start w:val="1"/>
      <w:numFmt w:val="decimal"/>
      <w:lvlText w:val="%2."/>
      <w:lvlJc w:val="left"/>
      <w:pPr>
        <w:ind w:left="1011" w:hanging="211"/>
      </w:pPr>
      <w:rPr>
        <w:smallCaps w:val="0"/>
        <w:strike w:val="0"/>
        <w:vertAlign w:val="baseline"/>
      </w:rPr>
    </w:lvl>
    <w:lvl w:ilvl="2">
      <w:start w:val="1"/>
      <w:numFmt w:val="decimal"/>
      <w:lvlText w:val="%3."/>
      <w:lvlJc w:val="left"/>
      <w:pPr>
        <w:ind w:left="1811" w:hanging="21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611" w:hanging="210"/>
      </w:pPr>
      <w:rPr>
        <w:smallCaps w:val="0"/>
        <w:strike w:val="0"/>
        <w:vertAlign w:val="baseline"/>
      </w:rPr>
    </w:lvl>
    <w:lvl w:ilvl="4">
      <w:start w:val="1"/>
      <w:numFmt w:val="decimal"/>
      <w:lvlText w:val="%5."/>
      <w:lvlJc w:val="left"/>
      <w:pPr>
        <w:ind w:left="3411" w:hanging="211"/>
      </w:pPr>
      <w:rPr>
        <w:smallCaps w:val="0"/>
        <w:strike w:val="0"/>
        <w:vertAlign w:val="baseline"/>
      </w:rPr>
    </w:lvl>
    <w:lvl w:ilvl="5">
      <w:start w:val="1"/>
      <w:numFmt w:val="decimal"/>
      <w:lvlText w:val="%6."/>
      <w:lvlJc w:val="left"/>
      <w:pPr>
        <w:ind w:left="4211" w:hanging="211"/>
      </w:pPr>
      <w:rPr>
        <w:smallCaps w:val="0"/>
        <w:strike w:val="0"/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11" w:hanging="211"/>
      </w:pPr>
      <w:rPr>
        <w:smallCaps w:val="0"/>
        <w:strike w:val="0"/>
        <w:vertAlign w:val="baseline"/>
      </w:rPr>
    </w:lvl>
    <w:lvl w:ilvl="7">
      <w:start w:val="1"/>
      <w:numFmt w:val="decimal"/>
      <w:lvlText w:val="%8."/>
      <w:lvlJc w:val="left"/>
      <w:pPr>
        <w:ind w:left="5811" w:hanging="211"/>
      </w:pPr>
      <w:rPr>
        <w:smallCaps w:val="0"/>
        <w:strike w:val="0"/>
        <w:vertAlign w:val="baseline"/>
      </w:rPr>
    </w:lvl>
    <w:lvl w:ilvl="8">
      <w:start w:val="1"/>
      <w:numFmt w:val="decimal"/>
      <w:lvlText w:val="%9."/>
      <w:lvlJc w:val="left"/>
      <w:pPr>
        <w:ind w:left="6611" w:hanging="211"/>
      </w:pPr>
      <w:rPr>
        <w:smallCaps w:val="0"/>
        <w:strike w:val="0"/>
        <w:vertAlign w:val="baseline"/>
      </w:rPr>
    </w:lvl>
  </w:abstractNum>
  <w:abstractNum w:abstractNumId="1" w15:restartNumberingAfterBreak="0">
    <w:nsid w:val="266704E7"/>
    <w:multiLevelType w:val="multilevel"/>
    <w:tmpl w:val="99803BAC"/>
    <w:lvl w:ilvl="0">
      <w:start w:val="1"/>
      <w:numFmt w:val="decimal"/>
      <w:lvlText w:val="%1."/>
      <w:lvlJc w:val="left"/>
      <w:pPr>
        <w:ind w:left="211" w:hanging="211"/>
      </w:pPr>
      <w:rPr>
        <w:smallCaps w:val="0"/>
        <w:strike w:val="0"/>
        <w:vertAlign w:val="baseline"/>
      </w:rPr>
    </w:lvl>
    <w:lvl w:ilvl="1">
      <w:start w:val="1"/>
      <w:numFmt w:val="decimal"/>
      <w:lvlText w:val="%2."/>
      <w:lvlJc w:val="left"/>
      <w:pPr>
        <w:ind w:left="1011" w:hanging="211"/>
      </w:pPr>
      <w:rPr>
        <w:smallCaps w:val="0"/>
        <w:strike w:val="0"/>
        <w:vertAlign w:val="baseline"/>
      </w:rPr>
    </w:lvl>
    <w:lvl w:ilvl="2">
      <w:start w:val="1"/>
      <w:numFmt w:val="decimal"/>
      <w:lvlText w:val="%3."/>
      <w:lvlJc w:val="left"/>
      <w:pPr>
        <w:ind w:left="1811" w:hanging="21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611" w:hanging="210"/>
      </w:pPr>
      <w:rPr>
        <w:smallCaps w:val="0"/>
        <w:strike w:val="0"/>
        <w:vertAlign w:val="baseline"/>
      </w:rPr>
    </w:lvl>
    <w:lvl w:ilvl="4">
      <w:start w:val="1"/>
      <w:numFmt w:val="decimal"/>
      <w:lvlText w:val="%5."/>
      <w:lvlJc w:val="left"/>
      <w:pPr>
        <w:ind w:left="3411" w:hanging="211"/>
      </w:pPr>
      <w:rPr>
        <w:smallCaps w:val="0"/>
        <w:strike w:val="0"/>
        <w:vertAlign w:val="baseline"/>
      </w:rPr>
    </w:lvl>
    <w:lvl w:ilvl="5">
      <w:start w:val="1"/>
      <w:numFmt w:val="decimal"/>
      <w:lvlText w:val="%6."/>
      <w:lvlJc w:val="left"/>
      <w:pPr>
        <w:ind w:left="4211" w:hanging="21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11" w:hanging="211"/>
      </w:pPr>
      <w:rPr>
        <w:smallCaps w:val="0"/>
        <w:strike w:val="0"/>
        <w:vertAlign w:val="baseline"/>
      </w:rPr>
    </w:lvl>
    <w:lvl w:ilvl="7">
      <w:start w:val="1"/>
      <w:numFmt w:val="decimal"/>
      <w:lvlText w:val="%8."/>
      <w:lvlJc w:val="left"/>
      <w:pPr>
        <w:ind w:left="5811" w:hanging="211"/>
      </w:pPr>
      <w:rPr>
        <w:smallCaps w:val="0"/>
        <w:strike w:val="0"/>
        <w:vertAlign w:val="baseline"/>
      </w:rPr>
    </w:lvl>
    <w:lvl w:ilvl="8">
      <w:start w:val="1"/>
      <w:numFmt w:val="decimal"/>
      <w:lvlText w:val="%9."/>
      <w:lvlJc w:val="left"/>
      <w:pPr>
        <w:ind w:left="6611" w:hanging="211"/>
      </w:pPr>
      <w:rPr>
        <w:smallCaps w:val="0"/>
        <w:strike w:val="0"/>
        <w:vertAlign w:val="baseline"/>
      </w:rPr>
    </w:lvl>
  </w:abstractNum>
  <w:abstractNum w:abstractNumId="2" w15:restartNumberingAfterBreak="0">
    <w:nsid w:val="377C4041"/>
    <w:multiLevelType w:val="multilevel"/>
    <w:tmpl w:val="8C921E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Nagwek2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pStyle w:val="Nagwek6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9F20DC"/>
    <w:multiLevelType w:val="multilevel"/>
    <w:tmpl w:val="C1D48CC6"/>
    <w:lvl w:ilvl="0">
      <w:start w:val="1"/>
      <w:numFmt w:val="decimal"/>
      <w:lvlText w:val="%1."/>
      <w:lvlJc w:val="left"/>
      <w:pPr>
        <w:ind w:left="211" w:hanging="211"/>
      </w:pPr>
      <w:rPr>
        <w:smallCaps w:val="0"/>
        <w:strike w:val="0"/>
        <w:vertAlign w:val="baseline"/>
      </w:rPr>
    </w:lvl>
    <w:lvl w:ilvl="1">
      <w:start w:val="1"/>
      <w:numFmt w:val="decimal"/>
      <w:lvlText w:val="%2."/>
      <w:lvlJc w:val="left"/>
      <w:pPr>
        <w:ind w:left="1011" w:hanging="211"/>
      </w:pPr>
      <w:rPr>
        <w:smallCaps w:val="0"/>
        <w:strike w:val="0"/>
        <w:vertAlign w:val="baseline"/>
      </w:rPr>
    </w:lvl>
    <w:lvl w:ilvl="2">
      <w:start w:val="1"/>
      <w:numFmt w:val="decimal"/>
      <w:lvlText w:val="%3."/>
      <w:lvlJc w:val="left"/>
      <w:pPr>
        <w:ind w:left="1811" w:hanging="211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611" w:hanging="210"/>
      </w:pPr>
      <w:rPr>
        <w:smallCaps w:val="0"/>
        <w:strike w:val="0"/>
        <w:vertAlign w:val="baseline"/>
      </w:rPr>
    </w:lvl>
    <w:lvl w:ilvl="4">
      <w:start w:val="1"/>
      <w:numFmt w:val="decimal"/>
      <w:lvlText w:val="%5."/>
      <w:lvlJc w:val="left"/>
      <w:pPr>
        <w:ind w:left="3411" w:hanging="211"/>
      </w:pPr>
      <w:rPr>
        <w:smallCaps w:val="0"/>
        <w:strike w:val="0"/>
        <w:vertAlign w:val="baseline"/>
      </w:rPr>
    </w:lvl>
    <w:lvl w:ilvl="5">
      <w:start w:val="1"/>
      <w:numFmt w:val="decimal"/>
      <w:lvlText w:val="%6."/>
      <w:lvlJc w:val="left"/>
      <w:pPr>
        <w:ind w:left="4211" w:hanging="211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11" w:hanging="211"/>
      </w:pPr>
      <w:rPr>
        <w:smallCaps w:val="0"/>
        <w:strike w:val="0"/>
        <w:vertAlign w:val="baseline"/>
      </w:rPr>
    </w:lvl>
    <w:lvl w:ilvl="7">
      <w:start w:val="1"/>
      <w:numFmt w:val="decimal"/>
      <w:lvlText w:val="%8."/>
      <w:lvlJc w:val="left"/>
      <w:pPr>
        <w:ind w:left="5811" w:hanging="211"/>
      </w:pPr>
      <w:rPr>
        <w:smallCaps w:val="0"/>
        <w:strike w:val="0"/>
        <w:vertAlign w:val="baseline"/>
      </w:rPr>
    </w:lvl>
    <w:lvl w:ilvl="8">
      <w:start w:val="1"/>
      <w:numFmt w:val="decimal"/>
      <w:lvlText w:val="%9."/>
      <w:lvlJc w:val="left"/>
      <w:pPr>
        <w:ind w:left="6611" w:hanging="211"/>
      </w:pPr>
      <w:rPr>
        <w:smallCaps w:val="0"/>
        <w:strike w:val="0"/>
        <w:vertAlign w:val="baseline"/>
      </w:rPr>
    </w:lvl>
  </w:abstractNum>
  <w:abstractNum w:abstractNumId="4" w15:restartNumberingAfterBreak="0">
    <w:nsid w:val="53384558"/>
    <w:multiLevelType w:val="multilevel"/>
    <w:tmpl w:val="F8B4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0FF460F"/>
    <w:multiLevelType w:val="multilevel"/>
    <w:tmpl w:val="EAF2F836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071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791" w:hanging="304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511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231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951" w:hanging="303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671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391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11" w:hanging="304"/>
      </w:pPr>
      <w:rPr>
        <w:smallCaps w:val="0"/>
        <w:strike w:val="0"/>
        <w:vertAlign w:val="baseline"/>
      </w:rPr>
    </w:lvl>
  </w:abstractNum>
  <w:num w:numId="1" w16cid:durableId="1616912306">
    <w:abstractNumId w:val="2"/>
  </w:num>
  <w:num w:numId="2" w16cid:durableId="1485196466">
    <w:abstractNumId w:val="0"/>
  </w:num>
  <w:num w:numId="3" w16cid:durableId="751585600">
    <w:abstractNumId w:val="1"/>
  </w:num>
  <w:num w:numId="4" w16cid:durableId="1009719261">
    <w:abstractNumId w:val="5"/>
  </w:num>
  <w:num w:numId="5" w16cid:durableId="131482823">
    <w:abstractNumId w:val="3"/>
  </w:num>
  <w:num w:numId="6" w16cid:durableId="1296136322">
    <w:abstractNumId w:val="4"/>
  </w:num>
  <w:num w:numId="7" w16cid:durableId="14296190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130"/>
    <w:rsid w:val="001326DA"/>
    <w:rsid w:val="00422769"/>
    <w:rsid w:val="00432FBF"/>
    <w:rsid w:val="00821B2C"/>
    <w:rsid w:val="009722B3"/>
    <w:rsid w:val="00A43FAE"/>
    <w:rsid w:val="00A97F29"/>
    <w:rsid w:val="00DD5140"/>
    <w:rsid w:val="00E2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9C35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2B3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numbering" w:customStyle="1" w:styleId="Biecalista1">
    <w:name w:val="Bieżąca lista1"/>
  </w:style>
  <w:style w:type="numbering" w:customStyle="1" w:styleId="Biecalista2">
    <w:name w:val="Bieżąca lista2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i.org/10.1038/s41562-019-0734-z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oGG+DATs/sfWu0blaAtK0h90SQ==">CgMxLjAyDmgucm80a3U3NXJkOGQ4OAByITFUUzZsM2w0YVZNTlczTm1vTUFpYzZsU2JRZHd2TTZYRA==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1931</Words>
  <Characters>12516</Characters>
  <Application>Microsoft Office Word</Application>
  <DocSecurity>0</DocSecurity>
  <Lines>236</Lines>
  <Paragraphs>90</Paragraphs>
  <ScaleCrop>false</ScaleCrop>
  <Company/>
  <LinksUpToDate>false</LinksUpToDate>
  <CharactersWithSpaces>14357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Agnieszka Muchacka-Cymerman</cp:lastModifiedBy>
  <cp:revision>5</cp:revision>
  <dcterms:created xsi:type="dcterms:W3CDTF">2026-03-11T21:57:00Z</dcterms:created>
  <dcterms:modified xsi:type="dcterms:W3CDTF">2026-04-09T12:08:00Z</dcterms:modified>
</cp:coreProperties>
</file>