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94377" w14:textId="77777777" w:rsidR="00480048" w:rsidRDefault="005A1905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49BC9C0E" wp14:editId="63BBADC2">
            <wp:simplePos x="0" y="0"/>
            <wp:positionH relativeFrom="column">
              <wp:posOffset>-361949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811"/>
        <w:gridCol w:w="96"/>
        <w:gridCol w:w="1375"/>
        <w:gridCol w:w="2074"/>
        <w:gridCol w:w="351"/>
        <w:gridCol w:w="490"/>
        <w:gridCol w:w="997"/>
        <w:gridCol w:w="33"/>
        <w:gridCol w:w="1452"/>
      </w:tblGrid>
      <w:tr w:rsidR="00480048" w14:paraId="286A1DDE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2BDDA3C" w14:textId="77777777" w:rsidR="00480048" w:rsidRDefault="005A190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480048" w14:paraId="08142356" w14:textId="77777777">
        <w:trPr>
          <w:trHeight w:val="567"/>
          <w:jc w:val="center"/>
        </w:trPr>
        <w:tc>
          <w:tcPr>
            <w:tcW w:w="10198" w:type="dxa"/>
            <w:gridSpan w:val="10"/>
            <w:shd w:val="clear" w:color="auto" w:fill="FFFFFF"/>
            <w:vAlign w:val="center"/>
          </w:tcPr>
          <w:p w14:paraId="0A08A0F9" w14:textId="77777777" w:rsidR="00480048" w:rsidRDefault="005A190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</w:t>
            </w:r>
          </w:p>
        </w:tc>
      </w:tr>
      <w:tr w:rsidR="00480048" w14:paraId="723F25A5" w14:textId="77777777">
        <w:trPr>
          <w:trHeight w:val="567"/>
          <w:jc w:val="center"/>
        </w:trPr>
        <w:tc>
          <w:tcPr>
            <w:tcW w:w="3330" w:type="dxa"/>
            <w:gridSpan w:val="2"/>
            <w:vAlign w:val="center"/>
          </w:tcPr>
          <w:p w14:paraId="079C5A89" w14:textId="77777777" w:rsidR="00480048" w:rsidRDefault="005A190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8"/>
            <w:vAlign w:val="center"/>
          </w:tcPr>
          <w:p w14:paraId="1449E767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</w:tr>
      <w:tr w:rsidR="00480048" w14:paraId="7AA4A616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7B9412DD" w14:textId="77777777" w:rsidR="00480048" w:rsidRDefault="005A190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480048" w14:paraId="0EF9C377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1984994C" w14:textId="77777777" w:rsidR="00480048" w:rsidRDefault="005A190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480048" w14:paraId="12A2874C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vAlign w:val="center"/>
          </w:tcPr>
          <w:p w14:paraId="1ECC7151" w14:textId="77777777" w:rsidR="00480048" w:rsidRDefault="005A190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2423F609" w14:textId="77777777" w:rsidR="00480048" w:rsidRDefault="005A190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480048" w14:paraId="5E75F82E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002D21CA" w14:textId="77777777" w:rsidR="00480048" w:rsidRDefault="005A190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Prawo własności intelektualnej</w:t>
            </w:r>
          </w:p>
        </w:tc>
      </w:tr>
      <w:tr w:rsidR="00480048" w14:paraId="0E14697F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6EBEE695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2CA0E39B" w14:textId="77777777" w:rsidR="00480048" w:rsidRDefault="005A1905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C1</w:t>
            </w:r>
            <w:r>
              <w:rPr>
                <w:rFonts w:ascii="Times New Roman" w:eastAsia="Times New Roman" w:hAnsi="Times New Roman" w:cs="Times New Roman"/>
              </w:rPr>
              <w:t xml:space="preserve"> Pogłębienie rozumienia systemu ochrony własności intelektualnej (prawo autorskie, prawa pokrewne, własność przemysłowa, nieuczciwa konkurencja) oraz zależności między tymi reżimami ochrony.</w:t>
            </w:r>
          </w:p>
          <w:p w14:paraId="3348865A" w14:textId="77777777" w:rsidR="00480048" w:rsidRDefault="005A1905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C2</w:t>
            </w:r>
            <w:r>
              <w:rPr>
                <w:rFonts w:ascii="Times New Roman" w:eastAsia="Times New Roman" w:hAnsi="Times New Roman" w:cs="Times New Roman"/>
              </w:rPr>
              <w:t xml:space="preserve"> Analiza znaczenia ochrony własności intelektualnej w pracy zawodowej psychologa, w szczególności w obszarze korzystania z testów psychologicznych, materiałów dydaktycznych i treści szkoleniowych.</w:t>
            </w:r>
          </w:p>
          <w:p w14:paraId="00570AC2" w14:textId="77777777" w:rsidR="00480048" w:rsidRDefault="005A1905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C3</w:t>
            </w:r>
            <w:r>
              <w:rPr>
                <w:rFonts w:ascii="Times New Roman" w:eastAsia="Times New Roman" w:hAnsi="Times New Roman" w:cs="Times New Roman"/>
              </w:rPr>
              <w:t xml:space="preserve"> Rozwinięcie umiejętności interpretacji przepisów oraz kwalifikowania stanów faktycznych (dozwolony użytek, cytat, wizerunek, umowy, naruszenia) i oceny konsekwencji cywilnych/karnych.</w:t>
            </w:r>
          </w:p>
          <w:p w14:paraId="264462B6" w14:textId="77777777" w:rsidR="00480048" w:rsidRDefault="005A1905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C4</w:t>
            </w:r>
            <w:r>
              <w:rPr>
                <w:rFonts w:ascii="Times New Roman" w:eastAsia="Times New Roman" w:hAnsi="Times New Roman" w:cs="Times New Roman"/>
              </w:rPr>
              <w:t xml:space="preserve"> Kształtowanie postawy odpowiedzialności i zgodności działań zawodowych z prawem własności intelektualnej (uczciwość akademicka i zawodowa, minimalizacja ryzyka naruszeń).</w:t>
            </w:r>
          </w:p>
          <w:p w14:paraId="288B965E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C5 </w:t>
            </w:r>
            <w:r>
              <w:rPr>
                <w:rFonts w:ascii="Times New Roman" w:eastAsia="Times New Roman" w:hAnsi="Times New Roman" w:cs="Times New Roman"/>
              </w:rPr>
              <w:t>Rozwijanie kompetencji projektowania rozwiązań organizacyjnych ograniczających ryzyka naruszeń IP w działalności edukacyjnej, badawczej i praktycznej.</w:t>
            </w:r>
          </w:p>
        </w:tc>
      </w:tr>
      <w:tr w:rsidR="00480048" w14:paraId="2154E015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401FDC58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480048" w14:paraId="3FB06B1C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50253D60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80048" w14:paraId="1F195064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6E09E5D7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0CC34CB0" w14:textId="77777777" w:rsidR="00480048" w:rsidRDefault="005A1905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 Wykłady</w:t>
            </w:r>
            <w:r>
              <w:rPr>
                <w:rFonts w:ascii="Times New Roman" w:eastAsia="Times New Roman" w:hAnsi="Times New Roman" w:cs="Times New Roman"/>
              </w:rPr>
              <w:t xml:space="preserve"> (prezentacje multimedialne, schematy/mapy pojęć porównujące reżimy ochrony, krótkie materiały dydaktyczne ilustrujące typowe sytuacje: cytat, dozwolony użytek, wizerunek, licencje) (Pd1, Pd2, Pd3)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Mk2 Dyskusja</w:t>
            </w:r>
            <w:r>
              <w:rPr>
                <w:rFonts w:ascii="Times New Roman" w:eastAsia="Times New Roman" w:hAnsi="Times New Roman" w:cs="Times New Roman"/>
              </w:rPr>
              <w:t xml:space="preserve"> (studia przypadków/kazusy z praktyki akademickiej i zawodowej psychologa, pytania problemowe „co wolno i na jakiej podstawie”, argumentowanie rozwiązań „za/przeciw”, moderowane wnioskowanie o ryzykach naruszeń) (Pd4, Pd5)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Mk3 Analiza literatury przedmiotu </w:t>
            </w:r>
            <w:r>
              <w:rPr>
                <w:rFonts w:ascii="Times New Roman" w:eastAsia="Times New Roman" w:hAnsi="Times New Roman" w:cs="Times New Roman"/>
              </w:rPr>
              <w:t xml:space="preserve">(praca na wybranych przepisach i fragmentach </w:t>
            </w:r>
            <w:r>
              <w:rPr>
                <w:rFonts w:ascii="Times New Roman" w:eastAsia="Times New Roman" w:hAnsi="Times New Roman" w:cs="Times New Roman"/>
              </w:rPr>
              <w:t xml:space="preserve">orzecznictwa oraz literaturze (monografie/artykuły), stosowanie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checklist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oceny legalności i ryzyka, formułowanie uzasadnionych wniosków dotyczących zgodnego z prawem korzystania z materiałów/testów) (Pd2, Pd6)</w:t>
            </w:r>
          </w:p>
          <w:p w14:paraId="3B61BED9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2FE36C8A" w14:textId="77777777" w:rsidR="00480048" w:rsidRDefault="005A1905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42C7BE94" w14:textId="77777777" w:rsidR="00480048" w:rsidRDefault="005A190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Pd1 Prezentacje multimedialne </w:t>
            </w:r>
            <w:r>
              <w:rPr>
                <w:rFonts w:ascii="Times New Roman" w:eastAsia="Times New Roman" w:hAnsi="Times New Roman" w:cs="Times New Roman"/>
              </w:rPr>
              <w:t>(slajdy, schematy porównawcze reżimów ochrony, mapy pojęć)</w:t>
            </w:r>
          </w:p>
          <w:p w14:paraId="03E70272" w14:textId="77777777" w:rsidR="00480048" w:rsidRDefault="005A190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Akty prawne i orzecznictwo </w:t>
            </w:r>
            <w:r>
              <w:rPr>
                <w:rFonts w:ascii="Times New Roman" w:eastAsia="Times New Roman" w:hAnsi="Times New Roman" w:cs="Times New Roman"/>
              </w:rPr>
              <w:t>(wybrane przepisy, kazusy na tle orzeczeń, materiały źródłowe)</w:t>
            </w:r>
          </w:p>
          <w:p w14:paraId="50557840" w14:textId="77777777" w:rsidR="00480048" w:rsidRDefault="005A190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Krótkie materiały dydaktyczne </w:t>
            </w:r>
            <w:r>
              <w:rPr>
                <w:rFonts w:ascii="Times New Roman" w:eastAsia="Times New Roman" w:hAnsi="Times New Roman" w:cs="Times New Roman"/>
              </w:rPr>
              <w:t>(diagramy, zestawienia, przykładowe klauzule/licencje do analizy)</w:t>
            </w:r>
          </w:p>
          <w:p w14:paraId="79F308DC" w14:textId="77777777" w:rsidR="00480048" w:rsidRDefault="005A190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Pd4 Studia przypadków i sytuacje problemowe</w:t>
            </w:r>
            <w:r>
              <w:rPr>
                <w:rFonts w:ascii="Times New Roman" w:eastAsia="Times New Roman" w:hAnsi="Times New Roman" w:cs="Times New Roman"/>
              </w:rPr>
              <w:t xml:space="preserve"> (kazusy: cytat, dozwolony użytek, wizerunek, licencje, naruszenia; także kontekst testów psychologicznych)</w:t>
            </w:r>
          </w:p>
          <w:p w14:paraId="7BA7E969" w14:textId="77777777" w:rsidR="00480048" w:rsidRDefault="005A190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Pd5 Karty pytań problemowych i narzędzia do moderacji dyskusji </w:t>
            </w:r>
            <w:r>
              <w:rPr>
                <w:rFonts w:ascii="Times New Roman" w:eastAsia="Times New Roman" w:hAnsi="Times New Roman" w:cs="Times New Roman"/>
              </w:rPr>
              <w:t>(pytania „co wolno?”, „kiedy ryzyko?”, argumenty „za/przeciw”)</w:t>
            </w:r>
          </w:p>
          <w:p w14:paraId="73B26D55" w14:textId="77777777" w:rsidR="00480048" w:rsidRDefault="005A190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Pd6 Literatura przedmiotu 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checklisty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analizy legalności</w:t>
            </w:r>
            <w:r>
              <w:rPr>
                <w:rFonts w:ascii="Times New Roman" w:eastAsia="Times New Roman" w:hAnsi="Times New Roman" w:cs="Times New Roman"/>
              </w:rPr>
              <w:t xml:space="preserve"> (monografie/artykuły, standardy korzystania z materiałów, listy kontrolne oceny ryzyka naruszeń)</w:t>
            </w:r>
          </w:p>
        </w:tc>
      </w:tr>
      <w:tr w:rsidR="00480048" w14:paraId="1FD9EC7E" w14:textId="77777777">
        <w:trPr>
          <w:trHeight w:val="273"/>
          <w:jc w:val="center"/>
        </w:trPr>
        <w:tc>
          <w:tcPr>
            <w:tcW w:w="10198" w:type="dxa"/>
            <w:gridSpan w:val="10"/>
            <w:shd w:val="clear" w:color="auto" w:fill="DBE5F1"/>
            <w:vAlign w:val="center"/>
          </w:tcPr>
          <w:p w14:paraId="292DBF35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Program kształcenia (treści nauczania)</w:t>
            </w:r>
          </w:p>
          <w:p w14:paraId="5B0D148B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480048" w14:paraId="06B10C58" w14:textId="77777777">
        <w:trPr>
          <w:trHeight w:val="2402"/>
          <w:jc w:val="center"/>
        </w:trPr>
        <w:tc>
          <w:tcPr>
            <w:tcW w:w="10198" w:type="dxa"/>
            <w:gridSpan w:val="10"/>
          </w:tcPr>
          <w:p w14:paraId="06526901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22930CED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Wprowadzenie do prawa własności intelektualnej</w:t>
            </w:r>
            <w:r>
              <w:rPr>
                <w:rFonts w:ascii="Times New Roman" w:eastAsia="Times New Roman" w:hAnsi="Times New Roman" w:cs="Times New Roman"/>
              </w:rPr>
              <w:t xml:space="preserve"> – omówienie pojęć dóbr niematerialnych i własności intelektualnej oraz ich znaczenia dla działalności akademickiej i zawodowej (w tym w psychologii).</w:t>
            </w:r>
          </w:p>
          <w:p w14:paraId="7E63B776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Przedmioty ochrony prawa autorskiego</w:t>
            </w:r>
            <w:r>
              <w:rPr>
                <w:rFonts w:ascii="Times New Roman" w:eastAsia="Times New Roman" w:hAnsi="Times New Roman" w:cs="Times New Roman"/>
              </w:rPr>
              <w:t xml:space="preserve"> – analiza pojęcia utworu jako przedmiotu ochrony, kryteriów twórczości i indywidualności oraz typowych granic ochrony w praktyce.</w:t>
            </w:r>
          </w:p>
          <w:p w14:paraId="52822220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Przedmiot praw pokrewnych</w:t>
            </w:r>
            <w:r>
              <w:rPr>
                <w:rFonts w:ascii="Times New Roman" w:eastAsia="Times New Roman" w:hAnsi="Times New Roman" w:cs="Times New Roman"/>
              </w:rPr>
              <w:t xml:space="preserve"> – charakterystyka praw pokrewnych oraz rozróżnienie ich względem prawa autorskiego, wraz z konsekwencjami dla korzystania z materiałów i treści.</w:t>
            </w:r>
          </w:p>
          <w:p w14:paraId="656413FE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Podmioty praw autorskich i praw pokrewnych</w:t>
            </w:r>
            <w:r>
              <w:rPr>
                <w:rFonts w:ascii="Times New Roman" w:eastAsia="Times New Roman" w:hAnsi="Times New Roman" w:cs="Times New Roman"/>
              </w:rPr>
              <w:t xml:space="preserve"> – omówienie uprawnień twórcy i innych podmiotów oraz zasad nabywania, wykonywania i ograniczeń tych praw w realnych sytuacjach zawodowych.</w:t>
            </w:r>
          </w:p>
          <w:p w14:paraId="4B5FE677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Dozwolony użytek chronionych utworów. Umowy prawa autorskiego</w:t>
            </w:r>
            <w:r>
              <w:rPr>
                <w:rFonts w:ascii="Times New Roman" w:eastAsia="Times New Roman" w:hAnsi="Times New Roman" w:cs="Times New Roman"/>
              </w:rPr>
              <w:t xml:space="preserve"> – interpretacja zakresu dozwolonego użytku oraz podstawowych typów umów (w tym licencyjnych), z uwzględnieniem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naruszeń i zasad legalnego korzystania.</w:t>
            </w:r>
          </w:p>
          <w:p w14:paraId="3919525A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Ochrona praw autorskich i praw pokrewnych</w:t>
            </w:r>
            <w:r>
              <w:rPr>
                <w:rFonts w:ascii="Times New Roman" w:eastAsia="Times New Roman" w:hAnsi="Times New Roman" w:cs="Times New Roman"/>
              </w:rPr>
              <w:t xml:space="preserve"> – przegląd instrumentów ochrony oraz typowych roszczeń i mechanizmów reagowania na naruszenia w praktyce (w tym odpowiedzialności).</w:t>
            </w:r>
          </w:p>
          <w:p w14:paraId="1B79087C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Ochrona wizerunku, prawo cytatu</w:t>
            </w:r>
            <w:r>
              <w:rPr>
                <w:rFonts w:ascii="Times New Roman" w:eastAsia="Times New Roman" w:hAnsi="Times New Roman" w:cs="Times New Roman"/>
              </w:rPr>
              <w:t xml:space="preserve"> – omówienie przesłanek legalnego rozpowszechniania wizerunku i stosowania cytatu, wraz z analizą sytuacji granicznych (np. materiały dydaktyczne, prezentacje, publikacje).</w:t>
            </w:r>
          </w:p>
          <w:p w14:paraId="0D4742F5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Wprowadzenie do prawa własności przemysłowej</w:t>
            </w:r>
            <w:r>
              <w:rPr>
                <w:rFonts w:ascii="Times New Roman" w:eastAsia="Times New Roman" w:hAnsi="Times New Roman" w:cs="Times New Roman"/>
              </w:rPr>
              <w:t xml:space="preserve"> – przedstawienie zakresu i funkcji ochrony własności przemysłowej oraz różnic względem prawa autorskiego w kontekście ochrony rezultatów działalności.</w:t>
            </w:r>
          </w:p>
          <w:p w14:paraId="01E0768B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Ochrona własności przemysłowej</w:t>
            </w:r>
            <w:r>
              <w:rPr>
                <w:rFonts w:ascii="Times New Roman" w:eastAsia="Times New Roman" w:hAnsi="Times New Roman" w:cs="Times New Roman"/>
              </w:rPr>
              <w:t xml:space="preserve"> – omówienie form ochrony (np. znaki towarowe, wzory, patenty) oraz ich znaczenia dla praktyki instytucji i podmiotów działających na rynku usług.</w:t>
            </w:r>
          </w:p>
          <w:p w14:paraId="1B305531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Procedura i przesłanki uzyskania patentu, prawa ochronnego i prawa z rejestracji</w:t>
            </w:r>
            <w:r>
              <w:rPr>
                <w:rFonts w:ascii="Times New Roman" w:eastAsia="Times New Roman" w:hAnsi="Times New Roman" w:cs="Times New Roman"/>
              </w:rPr>
              <w:t xml:space="preserve"> – analiza przesłanek materialnych oraz etapów procedur, z uwzględnieniem skutków prawnych uzyskania ochrony i typowych błędów.</w:t>
            </w:r>
          </w:p>
          <w:p w14:paraId="2840F01A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Środki cywilne i karne związane z naruszeniem praw własności przemysłowej. Odpowiedzialność cywilna i karna</w:t>
            </w:r>
            <w:r>
              <w:rPr>
                <w:rFonts w:ascii="Times New Roman" w:eastAsia="Times New Roman" w:hAnsi="Times New Roman" w:cs="Times New Roman"/>
              </w:rPr>
              <w:t xml:space="preserve"> – omówienie konsekwencji naruszeń, rodzajów odpowiedzialności oraz doboru środków ochrony adekwatnych do sytuacji.</w:t>
            </w:r>
          </w:p>
          <w:p w14:paraId="5E47E1DF" w14:textId="77777777" w:rsidR="00480048" w:rsidRDefault="005A1905">
            <w:pPr>
              <w:numPr>
                <w:ilvl w:val="0"/>
                <w:numId w:val="2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Testy psychologiczne w kontekście ochrony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prawnoautorskiej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analiza zasad legalnego korzystania z testów i materiałów testowych (licencje, udostępnianie, kopiowanie, wykorzystanie w dydaktyce i badaniach) oraz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prawnych i etycznych.</w:t>
            </w:r>
          </w:p>
        </w:tc>
      </w:tr>
      <w:tr w:rsidR="00480048" w14:paraId="22386C29" w14:textId="77777777">
        <w:trPr>
          <w:trHeight w:val="704"/>
          <w:jc w:val="center"/>
        </w:trPr>
        <w:tc>
          <w:tcPr>
            <w:tcW w:w="10198" w:type="dxa"/>
            <w:gridSpan w:val="10"/>
            <w:vAlign w:val="center"/>
          </w:tcPr>
          <w:p w14:paraId="513347C3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3754DBBB" w14:textId="77777777" w:rsidR="00480048" w:rsidRDefault="005A19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Michniewicz G.,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Ochrona własności intelektualnej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C.H. Beck, Warszawa 2012.</w:t>
            </w:r>
          </w:p>
          <w:p w14:paraId="4D7E713F" w14:textId="77777777" w:rsidR="00480048" w:rsidRDefault="005A19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Sieńczyło-Chlabicz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J.D.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Prawo własności intelektualnej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LexisNexis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Warszawa 2013.</w:t>
            </w:r>
          </w:p>
          <w:p w14:paraId="06CB4F56" w14:textId="77777777" w:rsidR="00480048" w:rsidRDefault="005A19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Podrecki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Paweł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, Środki ochrony praw własności intelektualnej Opublikowano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Lexis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Nexis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2010</w:t>
            </w:r>
          </w:p>
          <w:p w14:paraId="40AF5ABA" w14:textId="77777777" w:rsidR="00480048" w:rsidRDefault="005A19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Jakub Michał Doliński,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Testy psychologiczne w prawie własności intelektualnej,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Monitor Prawniczy, nr 10/2013</w:t>
            </w:r>
          </w:p>
        </w:tc>
      </w:tr>
      <w:tr w:rsidR="00480048" w14:paraId="22F7570C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699A2B85" w14:textId="77777777" w:rsidR="00480048" w:rsidRDefault="005A19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</w:t>
            </w:r>
          </w:p>
          <w:p w14:paraId="5A848A38" w14:textId="77777777" w:rsidR="00480048" w:rsidRDefault="005A19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Stec P. (red.),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Ochrona własności intelektualnej, Zarys wykładu,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Wydawnictwo Branta, Bydgoszcz – Opole - Gliwice 2011.                                                                                                                              </w:t>
            </w:r>
          </w:p>
          <w:p w14:paraId="29B77EAE" w14:textId="77777777" w:rsidR="00480048" w:rsidRDefault="005A19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Andrzejewski Adam i in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., „Własność intelektualna. Wybrane zagadnienia praktyczne”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Lexis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Nexis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2013                                                                                                                                                              </w:t>
            </w:r>
          </w:p>
          <w:p w14:paraId="7F83A81B" w14:textId="77777777" w:rsidR="00480048" w:rsidRDefault="005A19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”Prawo   własność intelektualnej Materiały dla uczelni”</w:t>
            </w:r>
            <w:sdt>
              <w:sdtPr>
                <w:tag w:val="goog_rdk_0"/>
                <w:id w:val="522995946"/>
              </w:sdtPr>
              <w:sdtEndPr/>
              <w:sdtContent>
                <w:r>
                  <w:rPr>
                    <w:rFonts w:ascii="Gungsuh" w:eastAsia="Gungsuh" w:hAnsi="Gungsuh" w:cs="Gungsuh"/>
                    <w:i/>
                    <w:iCs/>
                    <w:color w:val="000000"/>
                  </w:rPr>
                  <w:t xml:space="preserve">, wydanie pierwsze fundacja Nowoczesna Polska, Warszawa 20⒕ 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000000"/>
              </w:rPr>
              <w:t>Wersja cyfrowa http://prawokultury.pl/kurs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.              </w:t>
            </w:r>
          </w:p>
          <w:p w14:paraId="78D51E46" w14:textId="77777777" w:rsidR="00480048" w:rsidRDefault="005A19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6B0A34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Bently, L., Sherman, B., </w:t>
            </w:r>
            <w:proofErr w:type="spellStart"/>
            <w:r w:rsidRPr="006B0A34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Gangjee</w:t>
            </w:r>
            <w:proofErr w:type="spellEnd"/>
            <w:r w:rsidRPr="006B0A34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, D., Johnson, P. (2022/2023). Intellectual Property Law (6th ed.).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Oxford University Press.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</w:t>
            </w:r>
          </w:p>
        </w:tc>
      </w:tr>
      <w:tr w:rsidR="00480048" w14:paraId="5461CE2B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05D32554" w14:textId="77777777" w:rsidR="00480048" w:rsidRDefault="005A19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104BC350" w14:textId="77777777" w:rsidR="00480048" w:rsidRDefault="005A19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aktywność na zajęciach</w:t>
            </w:r>
          </w:p>
          <w:p w14:paraId="45908597" w14:textId="77777777" w:rsidR="00480048" w:rsidRDefault="005A19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 egzamin testowy</w:t>
            </w:r>
          </w:p>
        </w:tc>
      </w:tr>
      <w:tr w:rsidR="00480048" w14:paraId="06228F90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472F1911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Style w:val="a0"/>
              <w:tblW w:w="11001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75"/>
              <w:gridCol w:w="7826"/>
            </w:tblGrid>
            <w:tr w:rsidR="00480048" w14:paraId="371BFC45" w14:textId="77777777">
              <w:trPr>
                <w:trHeight w:val="744"/>
                <w:jc w:val="center"/>
              </w:trPr>
              <w:tc>
                <w:tcPr>
                  <w:tcW w:w="31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E18C05" w14:textId="77777777" w:rsidR="00480048" w:rsidRDefault="005A190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Forma zajęć</w:t>
                  </w:r>
                </w:p>
              </w:tc>
              <w:tc>
                <w:tcPr>
                  <w:tcW w:w="7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C59CC6" w14:textId="77777777" w:rsidR="00480048" w:rsidRDefault="005A190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Warunki zaliczenia zajęć</w:t>
                  </w:r>
                </w:p>
              </w:tc>
            </w:tr>
            <w:tr w:rsidR="00480048" w14:paraId="0F1E38E9" w14:textId="77777777">
              <w:trPr>
                <w:trHeight w:val="570"/>
                <w:jc w:val="center"/>
              </w:trPr>
              <w:tc>
                <w:tcPr>
                  <w:tcW w:w="31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A9C094" w14:textId="77777777" w:rsidR="00480048" w:rsidRDefault="005A190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Wykład</w:t>
                  </w:r>
                </w:p>
              </w:tc>
              <w:tc>
                <w:tcPr>
                  <w:tcW w:w="7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4DBB9D" w14:textId="77777777" w:rsidR="00480048" w:rsidRDefault="005A1905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Egzamin pisemny (pytania testowe jednokrotnego wyboru)</w:t>
                  </w:r>
                </w:p>
                <w:p w14:paraId="7F236BAB" w14:textId="77777777" w:rsidR="00480048" w:rsidRDefault="005A1905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Egzamin odbędzie się stacjonarnie</w:t>
                  </w:r>
                </w:p>
                <w:p w14:paraId="0CE68612" w14:textId="77777777" w:rsidR="00480048" w:rsidRDefault="005A1905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Kryteria oceny końcowej: </w:t>
                  </w:r>
                </w:p>
                <w:p w14:paraId="02B21944" w14:textId="77777777" w:rsidR="00480048" w:rsidRDefault="005A190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Bardzo dobra (5,0) - od 91 % do 100 %</w:t>
                  </w:r>
                </w:p>
                <w:p w14:paraId="057FE613" w14:textId="77777777" w:rsidR="00480048" w:rsidRDefault="005A190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Dobra plus (4,5) - od 81 % do 90 %</w:t>
                  </w:r>
                </w:p>
                <w:p w14:paraId="16AA2C5E" w14:textId="77777777" w:rsidR="00480048" w:rsidRDefault="005A190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Dobra (4,0) - od 71 % do 80 %</w:t>
                  </w:r>
                </w:p>
                <w:p w14:paraId="1974C4DE" w14:textId="77777777" w:rsidR="00480048" w:rsidRDefault="005A190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Dostateczna plus (3,5) - od 61 % do 70 %</w:t>
                  </w:r>
                </w:p>
                <w:p w14:paraId="2FB1421E" w14:textId="77777777" w:rsidR="00480048" w:rsidRDefault="005A190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Dostateczna (3,0) - od 51 % do 60 %</w:t>
                  </w:r>
                </w:p>
                <w:p w14:paraId="3E424357" w14:textId="77777777" w:rsidR="00480048" w:rsidRDefault="005A190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Niedostateczna (2,0) - poniżej 51 %</w:t>
                  </w:r>
                </w:p>
              </w:tc>
            </w:tr>
          </w:tbl>
          <w:p w14:paraId="157A0BC7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0048" w14:paraId="128ACCCF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76EA389D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Efekty uczenia się </w:t>
            </w:r>
          </w:p>
        </w:tc>
      </w:tr>
      <w:tr w:rsidR="00480048" w14:paraId="066375EF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71DFD8B8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6"/>
            <w:shd w:val="clear" w:color="auto" w:fill="D5DCE4"/>
            <w:vAlign w:val="center"/>
          </w:tcPr>
          <w:p w14:paraId="3389FB89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4F8397CD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480048" w14:paraId="24BC7C72" w14:textId="77777777">
        <w:trPr>
          <w:trHeight w:val="546"/>
          <w:jc w:val="center"/>
        </w:trPr>
        <w:tc>
          <w:tcPr>
            <w:tcW w:w="1519" w:type="dxa"/>
          </w:tcPr>
          <w:p w14:paraId="30AFF8DD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6"/>
          </w:tcPr>
          <w:p w14:paraId="69EB021C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Analizuje i porównuje reżimy ochrony własności intelektualnej (prawo autorskie, pokrewne, własność przemysłowa, nieuczciwa konkurencja) oraz interpretuje ich znaczenie dla praktyki psychologicznej, w tym w zakresie testów i materiałów dydaktycznych.</w:t>
            </w:r>
          </w:p>
        </w:tc>
        <w:tc>
          <w:tcPr>
            <w:tcW w:w="2482" w:type="dxa"/>
            <w:gridSpan w:val="3"/>
          </w:tcPr>
          <w:p w14:paraId="77BCE57A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K_W18</w:t>
            </w:r>
          </w:p>
        </w:tc>
      </w:tr>
      <w:tr w:rsidR="00480048" w14:paraId="7FF79EA1" w14:textId="77777777">
        <w:trPr>
          <w:trHeight w:val="567"/>
          <w:jc w:val="center"/>
        </w:trPr>
        <w:tc>
          <w:tcPr>
            <w:tcW w:w="1519" w:type="dxa"/>
          </w:tcPr>
          <w:p w14:paraId="6DFEF675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6"/>
          </w:tcPr>
          <w:p w14:paraId="6941C68F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Dobiera i krytycznie ocenia źródła (akty prawne, orzecznictwo, literatura), analizuje stany faktyczne pod kątem legalności korzystania z utworów/wizerunku/testów, a następnie formułuje uzasadnione wnioski i rekomendacje zgodne z prawem </w:t>
            </w:r>
            <w:r>
              <w:rPr>
                <w:rFonts w:ascii="Times New Roman" w:eastAsia="Times New Roman" w:hAnsi="Times New Roman" w:cs="Times New Roman"/>
                <w:color w:val="0A0A0A"/>
                <w:highlight w:val="white"/>
              </w:rPr>
              <w:t xml:space="preserve">własności intelektualnej 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482" w:type="dxa"/>
            <w:gridSpan w:val="3"/>
          </w:tcPr>
          <w:p w14:paraId="1B6B570F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</w:tr>
      <w:tr w:rsidR="00480048" w14:paraId="540B8D5D" w14:textId="77777777">
        <w:trPr>
          <w:trHeight w:val="567"/>
          <w:jc w:val="center"/>
        </w:trPr>
        <w:tc>
          <w:tcPr>
            <w:tcW w:w="1519" w:type="dxa"/>
          </w:tcPr>
          <w:p w14:paraId="598D91EE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E2_U </w:t>
            </w:r>
          </w:p>
        </w:tc>
        <w:tc>
          <w:tcPr>
            <w:tcW w:w="6197" w:type="dxa"/>
            <w:gridSpan w:val="6"/>
          </w:tcPr>
          <w:p w14:paraId="272432A7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Projektuje sposób realizacji zadań indywidualnych i zespołowych z poszanowaniem prawa </w:t>
            </w:r>
            <w:r>
              <w:rPr>
                <w:rFonts w:ascii="Times New Roman" w:eastAsia="Times New Roman" w:hAnsi="Times New Roman" w:cs="Times New Roman"/>
                <w:color w:val="0A0A0A"/>
                <w:highlight w:val="white"/>
              </w:rPr>
              <w:t xml:space="preserve">własności intelektualnej </w:t>
            </w:r>
            <w:r>
              <w:rPr>
                <w:rFonts w:ascii="Times New Roman" w:eastAsia="Times New Roman" w:hAnsi="Times New Roman" w:cs="Times New Roman"/>
              </w:rPr>
              <w:t xml:space="preserve"> (plan, terminy,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podział ról), identyfikuje ryzyka naruszeń i wdraża rozwiązania ograniczające to ryzyko.</w:t>
            </w:r>
          </w:p>
        </w:tc>
        <w:tc>
          <w:tcPr>
            <w:tcW w:w="2482" w:type="dxa"/>
            <w:gridSpan w:val="3"/>
          </w:tcPr>
          <w:p w14:paraId="32B7E651" w14:textId="1149B4A9" w:rsidR="00480048" w:rsidRDefault="006B0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0A3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K_U04</w:t>
            </w:r>
          </w:p>
        </w:tc>
      </w:tr>
      <w:tr w:rsidR="00480048" w14:paraId="06E0EB8D" w14:textId="77777777">
        <w:trPr>
          <w:trHeight w:val="567"/>
          <w:jc w:val="center"/>
        </w:trPr>
        <w:tc>
          <w:tcPr>
            <w:tcW w:w="1519" w:type="dxa"/>
          </w:tcPr>
          <w:p w14:paraId="5A3AFDC1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7" w:type="dxa"/>
            <w:gridSpan w:val="6"/>
          </w:tcPr>
          <w:p w14:paraId="2425AE34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Przyjmuje odpowiedzialność za zgodność działań akademickich i zawodowych z prawem własności intelektualnej oraz systematycznie aktualizuje kompetencje w odpowiedzi na zmiany regulacyjne i standardy wykonywania zawodu.</w:t>
            </w:r>
          </w:p>
        </w:tc>
        <w:tc>
          <w:tcPr>
            <w:tcW w:w="2482" w:type="dxa"/>
            <w:gridSpan w:val="3"/>
          </w:tcPr>
          <w:p w14:paraId="5498D99B" w14:textId="19294510" w:rsidR="00480048" w:rsidRDefault="006B0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0A34">
              <w:rPr>
                <w:rFonts w:ascii="Times New Roman" w:eastAsia="Times New Roman" w:hAnsi="Times New Roman" w:cs="Times New Roman"/>
                <w:color w:val="000000"/>
              </w:rPr>
              <w:t>K_K07</w:t>
            </w:r>
          </w:p>
        </w:tc>
      </w:tr>
      <w:tr w:rsidR="00480048" w14:paraId="579EBC66" w14:textId="77777777">
        <w:trPr>
          <w:trHeight w:val="567"/>
          <w:jc w:val="center"/>
        </w:trPr>
        <w:tc>
          <w:tcPr>
            <w:tcW w:w="1519" w:type="dxa"/>
          </w:tcPr>
          <w:p w14:paraId="7DB92456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6197" w:type="dxa"/>
            <w:gridSpan w:val="6"/>
          </w:tcPr>
          <w:p w14:paraId="42B3E636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Wykazuje odpowiedzialność za własną i zespołową pracę w kontekście możliwych naruszeń prawa autorskiego i własności przemysłowej; promuje dobre praktyki (rzetelne cytowanie, licencje, legalne korzystanie z testów i materiałów).</w:t>
            </w:r>
          </w:p>
        </w:tc>
        <w:tc>
          <w:tcPr>
            <w:tcW w:w="2482" w:type="dxa"/>
            <w:gridSpan w:val="3"/>
          </w:tcPr>
          <w:p w14:paraId="0A937FE9" w14:textId="424B1F4E" w:rsidR="00480048" w:rsidRDefault="006B0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0A34">
              <w:rPr>
                <w:rFonts w:ascii="Times New Roman" w:eastAsia="Times New Roman" w:hAnsi="Times New Roman" w:cs="Times New Roman"/>
                <w:color w:val="000000"/>
              </w:rPr>
              <w:t>K_K07</w:t>
            </w:r>
          </w:p>
        </w:tc>
      </w:tr>
      <w:tr w:rsidR="00480048" w14:paraId="63DB021A" w14:textId="77777777">
        <w:trPr>
          <w:trHeight w:val="567"/>
          <w:jc w:val="center"/>
        </w:trPr>
        <w:tc>
          <w:tcPr>
            <w:tcW w:w="10198" w:type="dxa"/>
            <w:gridSpan w:val="10"/>
            <w:shd w:val="clear" w:color="auto" w:fill="D5DCE4"/>
            <w:vAlign w:val="center"/>
          </w:tcPr>
          <w:p w14:paraId="7FAE7C14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480048" w14:paraId="256AF359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3EC7C94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2743181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E9BDF61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CD56AF2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274CD89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5FDD1EA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480048" w14:paraId="26BE9080" w14:textId="77777777">
        <w:trPr>
          <w:trHeight w:val="567"/>
          <w:jc w:val="center"/>
        </w:trPr>
        <w:tc>
          <w:tcPr>
            <w:tcW w:w="1519" w:type="dxa"/>
          </w:tcPr>
          <w:p w14:paraId="13066232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11" w:type="dxa"/>
          </w:tcPr>
          <w:p w14:paraId="76F1C8DD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K_W18</w:t>
            </w:r>
          </w:p>
        </w:tc>
        <w:tc>
          <w:tcPr>
            <w:tcW w:w="1471" w:type="dxa"/>
            <w:gridSpan w:val="2"/>
          </w:tcPr>
          <w:p w14:paraId="34B3C909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C2</w:t>
            </w:r>
          </w:p>
        </w:tc>
        <w:tc>
          <w:tcPr>
            <w:tcW w:w="2074" w:type="dxa"/>
          </w:tcPr>
          <w:p w14:paraId="703436C2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W1-W12</w:t>
            </w:r>
          </w:p>
        </w:tc>
        <w:tc>
          <w:tcPr>
            <w:tcW w:w="1871" w:type="dxa"/>
            <w:gridSpan w:val="4"/>
            <w:vAlign w:val="center"/>
          </w:tcPr>
          <w:p w14:paraId="1E259E2D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2431D4D4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480048" w14:paraId="06578016" w14:textId="77777777">
        <w:trPr>
          <w:trHeight w:val="567"/>
          <w:jc w:val="center"/>
        </w:trPr>
        <w:tc>
          <w:tcPr>
            <w:tcW w:w="1519" w:type="dxa"/>
          </w:tcPr>
          <w:p w14:paraId="77BA3CEA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</w:tcPr>
          <w:p w14:paraId="3EBFC29C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  <w:tc>
          <w:tcPr>
            <w:tcW w:w="1471" w:type="dxa"/>
            <w:gridSpan w:val="2"/>
          </w:tcPr>
          <w:p w14:paraId="5D99C033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</w:t>
            </w:r>
          </w:p>
        </w:tc>
        <w:tc>
          <w:tcPr>
            <w:tcW w:w="2074" w:type="dxa"/>
          </w:tcPr>
          <w:p w14:paraId="6E6F4316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W1-W12</w:t>
            </w:r>
          </w:p>
        </w:tc>
        <w:tc>
          <w:tcPr>
            <w:tcW w:w="1871" w:type="dxa"/>
            <w:gridSpan w:val="4"/>
            <w:vAlign w:val="center"/>
          </w:tcPr>
          <w:p w14:paraId="3D6D85AC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2DADF9DE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480048" w14:paraId="3846E694" w14:textId="77777777">
        <w:trPr>
          <w:trHeight w:val="567"/>
          <w:jc w:val="center"/>
        </w:trPr>
        <w:tc>
          <w:tcPr>
            <w:tcW w:w="1519" w:type="dxa"/>
          </w:tcPr>
          <w:p w14:paraId="65D97593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E2_U </w:t>
            </w:r>
          </w:p>
        </w:tc>
        <w:tc>
          <w:tcPr>
            <w:tcW w:w="1811" w:type="dxa"/>
          </w:tcPr>
          <w:p w14:paraId="62808156" w14:textId="158021D5" w:rsidR="00480048" w:rsidRDefault="006B0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0A34"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  <w:tc>
          <w:tcPr>
            <w:tcW w:w="1471" w:type="dxa"/>
            <w:gridSpan w:val="2"/>
          </w:tcPr>
          <w:p w14:paraId="76EEA086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C4</w:t>
            </w:r>
          </w:p>
        </w:tc>
        <w:tc>
          <w:tcPr>
            <w:tcW w:w="2074" w:type="dxa"/>
          </w:tcPr>
          <w:p w14:paraId="3B911E2E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W1-W12</w:t>
            </w:r>
          </w:p>
        </w:tc>
        <w:tc>
          <w:tcPr>
            <w:tcW w:w="1871" w:type="dxa"/>
            <w:gridSpan w:val="4"/>
            <w:vAlign w:val="center"/>
          </w:tcPr>
          <w:p w14:paraId="493F9AF5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28289773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480048" w14:paraId="2ECE28AC" w14:textId="77777777">
        <w:trPr>
          <w:trHeight w:val="567"/>
          <w:jc w:val="center"/>
        </w:trPr>
        <w:tc>
          <w:tcPr>
            <w:tcW w:w="1519" w:type="dxa"/>
          </w:tcPr>
          <w:p w14:paraId="13088067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11" w:type="dxa"/>
          </w:tcPr>
          <w:p w14:paraId="4832B194" w14:textId="24831D53" w:rsidR="00480048" w:rsidRDefault="006B0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0A34">
              <w:rPr>
                <w:rFonts w:ascii="Times New Roman" w:eastAsia="Times New Roman" w:hAnsi="Times New Roman" w:cs="Times New Roman"/>
                <w:color w:val="000000"/>
              </w:rPr>
              <w:t>K_K07</w:t>
            </w:r>
          </w:p>
        </w:tc>
        <w:tc>
          <w:tcPr>
            <w:tcW w:w="1471" w:type="dxa"/>
            <w:gridSpan w:val="2"/>
          </w:tcPr>
          <w:p w14:paraId="5BD36384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C3,C4</w:t>
            </w:r>
          </w:p>
        </w:tc>
        <w:tc>
          <w:tcPr>
            <w:tcW w:w="2074" w:type="dxa"/>
          </w:tcPr>
          <w:p w14:paraId="579D963E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W1-W12</w:t>
            </w:r>
          </w:p>
        </w:tc>
        <w:tc>
          <w:tcPr>
            <w:tcW w:w="1871" w:type="dxa"/>
            <w:gridSpan w:val="4"/>
            <w:vAlign w:val="center"/>
          </w:tcPr>
          <w:p w14:paraId="5399B9D0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4B7A52FA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480048" w14:paraId="0852252C" w14:textId="77777777">
        <w:trPr>
          <w:trHeight w:val="567"/>
          <w:jc w:val="center"/>
        </w:trPr>
        <w:tc>
          <w:tcPr>
            <w:tcW w:w="1519" w:type="dxa"/>
          </w:tcPr>
          <w:p w14:paraId="35FB1EE2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1811" w:type="dxa"/>
          </w:tcPr>
          <w:p w14:paraId="7DDC9A1E" w14:textId="70696ACE" w:rsidR="00480048" w:rsidRDefault="006B0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0A34">
              <w:rPr>
                <w:rFonts w:ascii="Times New Roman" w:eastAsia="Times New Roman" w:hAnsi="Times New Roman" w:cs="Times New Roman"/>
                <w:color w:val="000000"/>
              </w:rPr>
              <w:t>K_K07</w:t>
            </w:r>
          </w:p>
        </w:tc>
        <w:tc>
          <w:tcPr>
            <w:tcW w:w="1471" w:type="dxa"/>
            <w:gridSpan w:val="2"/>
          </w:tcPr>
          <w:p w14:paraId="13115ED2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C4</w:t>
            </w:r>
          </w:p>
        </w:tc>
        <w:tc>
          <w:tcPr>
            <w:tcW w:w="2074" w:type="dxa"/>
          </w:tcPr>
          <w:p w14:paraId="1C6F63C0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W1-W12</w:t>
            </w:r>
          </w:p>
        </w:tc>
        <w:tc>
          <w:tcPr>
            <w:tcW w:w="1871" w:type="dxa"/>
            <w:gridSpan w:val="4"/>
            <w:vAlign w:val="center"/>
          </w:tcPr>
          <w:p w14:paraId="78527ED5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0FD8B987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480048" w14:paraId="15D3BAE6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268B424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480048" w14:paraId="3C98F381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 w:val="restart"/>
            <w:shd w:val="clear" w:color="auto" w:fill="D5DCE4"/>
            <w:vAlign w:val="center"/>
          </w:tcPr>
          <w:p w14:paraId="76B5B9A8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800" w:type="dxa"/>
            <w:gridSpan w:val="3"/>
            <w:vMerge w:val="restart"/>
            <w:shd w:val="clear" w:color="auto" w:fill="D5DCE4"/>
            <w:vAlign w:val="center"/>
          </w:tcPr>
          <w:p w14:paraId="34A05366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05AC4327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480048" w14:paraId="505DC1B5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/>
            <w:shd w:val="clear" w:color="auto" w:fill="D5DCE4"/>
            <w:vAlign w:val="center"/>
          </w:tcPr>
          <w:p w14:paraId="52C26884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Merge/>
            <w:shd w:val="clear" w:color="auto" w:fill="D5DCE4"/>
            <w:vAlign w:val="center"/>
          </w:tcPr>
          <w:p w14:paraId="073062D4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664C0E71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0ED3046F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</w:tr>
      <w:tr w:rsidR="00480048" w14:paraId="4F9419E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37DD1D1D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3"/>
            <w:vMerge w:val="restart"/>
            <w:vAlign w:val="center"/>
          </w:tcPr>
          <w:p w14:paraId="38B2ABA4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396F7EB5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485" w:type="dxa"/>
            <w:gridSpan w:val="2"/>
            <w:vAlign w:val="center"/>
          </w:tcPr>
          <w:p w14:paraId="055CAE37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80048" w14:paraId="2CB9FA21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7FB23C95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73CB0A86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F5FB42F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5905282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0048" w14:paraId="761A71DE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75BD809A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01FB9221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B21AAF8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5A8C1AA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0048" w14:paraId="3FE1BA4D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F8F4D0E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678BF238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ED829FA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5CF61A4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0048" w14:paraId="2ED6B63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51B50120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27F90AB5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181C92AE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1B33D748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0048" w14:paraId="68037706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7E19BD70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3C8560E2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3E286DB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45C67B6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0048" w14:paraId="2FF9C073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7FA0D13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7ED48151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9720473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6218BB6" w14:textId="77777777" w:rsidR="00480048" w:rsidRDefault="0048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0048" w14:paraId="4244DD0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 w:val="restart"/>
            <w:vAlign w:val="center"/>
          </w:tcPr>
          <w:p w14:paraId="1B58D4DF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3"/>
            <w:vAlign w:val="center"/>
          </w:tcPr>
          <w:p w14:paraId="39EB215D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0C6BC906" w14:textId="77777777" w:rsidR="00480048" w:rsidRDefault="005A1905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1E0BB5A9" w14:textId="77777777" w:rsidR="00480048" w:rsidRDefault="005A1905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480048" w14:paraId="73087611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66DF2336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1956C322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3088B423" w14:textId="77777777" w:rsidR="00480048" w:rsidRDefault="00480048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77372D1" w14:textId="77777777" w:rsidR="00480048" w:rsidRDefault="00480048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0048" w14:paraId="1BD64E5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26A66895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5906E016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77CFA287" w14:textId="77777777" w:rsidR="00480048" w:rsidRDefault="00480048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39AFC84" w14:textId="77777777" w:rsidR="00480048" w:rsidRDefault="00480048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0048" w14:paraId="5B3DB2DA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07871E5F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65A4C4AD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7D1A1A74" w14:textId="77777777" w:rsidR="00480048" w:rsidRDefault="00480048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D75CCC6" w14:textId="77777777" w:rsidR="00480048" w:rsidRDefault="00480048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0048" w14:paraId="12D1D26D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690336D3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3B5B307E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34602492" w14:textId="77777777" w:rsidR="00480048" w:rsidRDefault="00480048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767C3DD" w14:textId="77777777" w:rsidR="00480048" w:rsidRDefault="00480048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0048" w14:paraId="3707B584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16824A9C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1F750031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66951025" w14:textId="77777777" w:rsidR="00480048" w:rsidRDefault="005A1905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7F994C0E" w14:textId="77777777" w:rsidR="00480048" w:rsidRDefault="005A1905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80048" w14:paraId="616199F8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3DCB4951" w14:textId="77777777" w:rsidR="00480048" w:rsidRDefault="00480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tcBorders>
              <w:bottom w:val="single" w:sz="4" w:space="0" w:color="000000"/>
            </w:tcBorders>
            <w:vAlign w:val="center"/>
          </w:tcPr>
          <w:p w14:paraId="3AC88364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39655A70" w14:textId="77777777" w:rsidR="00480048" w:rsidRDefault="00480048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04B3CA1" w14:textId="77777777" w:rsidR="00480048" w:rsidRDefault="00480048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0048" w14:paraId="2D5345B6" w14:textId="77777777">
        <w:trPr>
          <w:trHeight w:val="567"/>
          <w:jc w:val="center"/>
        </w:trPr>
        <w:tc>
          <w:tcPr>
            <w:tcW w:w="7226" w:type="dxa"/>
            <w:gridSpan w:val="6"/>
            <w:shd w:val="clear" w:color="auto" w:fill="F2F2F2"/>
            <w:vAlign w:val="center"/>
          </w:tcPr>
          <w:p w14:paraId="785CA2BF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14DC77F2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1485" w:type="dxa"/>
            <w:gridSpan w:val="2"/>
            <w:vAlign w:val="center"/>
          </w:tcPr>
          <w:p w14:paraId="68F22A72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</w:tr>
      <w:tr w:rsidR="00480048" w14:paraId="603C8160" w14:textId="77777777">
        <w:trPr>
          <w:trHeight w:val="567"/>
          <w:jc w:val="center"/>
        </w:trPr>
        <w:tc>
          <w:tcPr>
            <w:tcW w:w="7226" w:type="dxa"/>
            <w:gridSpan w:val="6"/>
            <w:shd w:val="clear" w:color="auto" w:fill="F2F2F2"/>
            <w:vAlign w:val="center"/>
          </w:tcPr>
          <w:p w14:paraId="6EA618FA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7519220F" w14:textId="77777777" w:rsidR="00480048" w:rsidRDefault="005A1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</w:tbl>
    <w:p w14:paraId="0C3C1752" w14:textId="77777777" w:rsidR="00480048" w:rsidRDefault="004800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7857574A" w14:textId="77777777" w:rsidR="00480048" w:rsidRDefault="004800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480048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3E7E8" w14:textId="77777777" w:rsidR="005A1905" w:rsidRDefault="005A190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A41CD02" w14:textId="77777777" w:rsidR="005A1905" w:rsidRDefault="005A190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54D8225-6E73-4E10-87DB-846C0CD17D1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D1B6BB2-A81C-4D91-A42A-6B3B0C676DDB}"/>
    <w:embedBold r:id="rId3" w:fontKey="{A038B469-BF75-4B92-9891-CE6FA433489F}"/>
    <w:embedItalic r:id="rId4" w:fontKey="{F1413D51-B5F0-4498-8748-62AD2B67B5E4}"/>
    <w:embedBoldItalic r:id="rId5" w:fontKey="{724E295F-E208-4DB1-B781-2222E96B45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46C458AF-693E-4AE4-B012-55E001FD59F4}"/>
    <w:embedBold r:id="rId7" w:fontKey="{6207504C-F6CA-4BCC-9F74-D78AB3CCCBD1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535E3FFE-05CD-4C5E-86D2-5841A74F284A}"/>
    <w:embedBold r:id="rId9" w:fontKey="{CE47810B-111C-4A13-BC12-38981D3CC55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7EDBB1B7-8509-4D6A-AE06-CBD982C5E6E0}"/>
    <w:embedItalic r:id="rId11" w:fontKey="{B8640BC6-01B1-4287-8112-7FA32BD26B09}"/>
  </w:font>
  <w:font w:name="EUAlbertina"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2" w:fontKey="{041DBB3A-4932-4239-9D65-7B2957ECAF7E}"/>
  </w:font>
  <w:font w:name="Gungsuh">
    <w:charset w:val="81"/>
    <w:family w:val="roman"/>
    <w:pitch w:val="variable"/>
    <w:sig w:usb0="B00002AF" w:usb1="69D77CFB" w:usb2="00000030" w:usb3="00000000" w:csb0="0008009F" w:csb1="00000000"/>
    <w:embedItalic r:id="rId13" w:subsetted="1" w:fontKey="{B38F7258-CF04-4262-8628-72799CA5F15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4" w:fontKey="{7E909455-35F2-42A9-8D19-7831E412EA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1C0A" w14:textId="77777777" w:rsidR="00480048" w:rsidRDefault="005A19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6B0A34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653697D4" w14:textId="77777777" w:rsidR="00480048" w:rsidRDefault="004800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FF00D" w14:textId="77777777" w:rsidR="005A1905" w:rsidRDefault="005A190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05F1C68" w14:textId="77777777" w:rsidR="005A1905" w:rsidRDefault="005A1905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225"/>
    <w:multiLevelType w:val="multilevel"/>
    <w:tmpl w:val="F3221BD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1F80EC4"/>
    <w:multiLevelType w:val="multilevel"/>
    <w:tmpl w:val="5B6804B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243355E"/>
    <w:multiLevelType w:val="multilevel"/>
    <w:tmpl w:val="4BD4970C"/>
    <w:lvl w:ilvl="0">
      <w:start w:val="1"/>
      <w:numFmt w:val="decimal"/>
      <w:lvlText w:val="%1."/>
      <w:lvlJc w:val="left"/>
      <w:pPr>
        <w:ind w:left="1068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3" w15:restartNumberingAfterBreak="0">
    <w:nsid w:val="6E6D19AF"/>
    <w:multiLevelType w:val="multilevel"/>
    <w:tmpl w:val="E7402E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 w16cid:durableId="1286035233">
    <w:abstractNumId w:val="0"/>
  </w:num>
  <w:num w:numId="2" w16cid:durableId="312220468">
    <w:abstractNumId w:val="1"/>
  </w:num>
  <w:num w:numId="3" w16cid:durableId="405610514">
    <w:abstractNumId w:val="2"/>
  </w:num>
  <w:num w:numId="4" w16cid:durableId="1617053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048"/>
    <w:rsid w:val="00432FBF"/>
    <w:rsid w:val="00480048"/>
    <w:rsid w:val="005A1905"/>
    <w:rsid w:val="006B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D2A1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  <w:lang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  <w:lang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V/1yhB200RiRdnZOmJnnmwHaEA==">CgMxLjAaJQoBMBIgCh4IB0IaCg9UaW1lcyBOZXcgUm9tYW4SB0d1bmdzdWg4AHIhMTNXczZXcm9IOThuWXRFYm9kQThyNXVYOGI2bEQyQVM0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1395</Words>
  <Characters>8370</Characters>
  <Application>Microsoft Office Word</Application>
  <DocSecurity>0</DocSecurity>
  <Lines>69</Lines>
  <Paragraphs>19</Paragraphs>
  <ScaleCrop>false</ScaleCrop>
  <Company/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2</cp:revision>
  <dcterms:created xsi:type="dcterms:W3CDTF">2026-03-11T20:28:00Z</dcterms:created>
  <dcterms:modified xsi:type="dcterms:W3CDTF">2026-03-11T20:28:00Z</dcterms:modified>
</cp:coreProperties>
</file>