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4ED85" w14:textId="77777777" w:rsidR="002D54D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D52D93F" wp14:editId="2E650C8C">
            <wp:simplePos x="0" y="0"/>
            <wp:positionH relativeFrom="column">
              <wp:posOffset>-400049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38D64A" w14:textId="77777777" w:rsidR="002D54D1" w:rsidRDefault="002D54D1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0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1782"/>
        <w:gridCol w:w="94"/>
        <w:gridCol w:w="1352"/>
        <w:gridCol w:w="293"/>
        <w:gridCol w:w="1748"/>
        <w:gridCol w:w="345"/>
        <w:gridCol w:w="482"/>
        <w:gridCol w:w="981"/>
        <w:gridCol w:w="32"/>
        <w:gridCol w:w="1421"/>
        <w:gridCol w:w="8"/>
      </w:tblGrid>
      <w:tr w:rsidR="002D54D1" w14:paraId="1CADE323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081BFF4" w14:textId="77777777" w:rsidR="002D54D1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2D54D1" w14:paraId="5E413BD9" w14:textId="77777777">
        <w:trPr>
          <w:trHeight w:val="567"/>
          <w:jc w:val="center"/>
        </w:trPr>
        <w:tc>
          <w:tcPr>
            <w:tcW w:w="10032" w:type="dxa"/>
            <w:gridSpan w:val="12"/>
            <w:shd w:val="clear" w:color="auto" w:fill="FFFFFF"/>
            <w:vAlign w:val="center"/>
          </w:tcPr>
          <w:p w14:paraId="55EF73FB" w14:textId="77777777" w:rsidR="002D54D1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2D54D1" w14:paraId="2D350BD7" w14:textId="77777777">
        <w:trPr>
          <w:trHeight w:val="567"/>
          <w:jc w:val="center"/>
        </w:trPr>
        <w:tc>
          <w:tcPr>
            <w:tcW w:w="3276" w:type="dxa"/>
            <w:gridSpan w:val="2"/>
            <w:vAlign w:val="center"/>
          </w:tcPr>
          <w:p w14:paraId="07A1E19B" w14:textId="77777777" w:rsidR="002D54D1" w:rsidRDefault="00000000">
            <w:pPr>
              <w:pStyle w:val="Nagwek3"/>
              <w:spacing w:before="0"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756" w:type="dxa"/>
            <w:gridSpan w:val="10"/>
            <w:vAlign w:val="center"/>
          </w:tcPr>
          <w:p w14:paraId="6858AEC1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2D54D1" w14:paraId="03CD3447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6713F5E5" w14:textId="77777777" w:rsidR="002D54D1" w:rsidRDefault="00000000">
            <w:pPr>
              <w:pStyle w:val="Nagwek1"/>
              <w:ind w:left="0"/>
              <w:jc w:val="left"/>
              <w:rPr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2D54D1" w14:paraId="2FA78721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725B3259" w14:textId="77777777" w:rsidR="002D54D1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  <w:smallCap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2D54D1" w14:paraId="65ABE3B0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vAlign w:val="center"/>
          </w:tcPr>
          <w:p w14:paraId="48F7CE23" w14:textId="77777777" w:rsidR="002D54D1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2D54D1" w14:paraId="6501B638" w14:textId="77777777">
        <w:trPr>
          <w:trHeight w:val="567"/>
          <w:jc w:val="center"/>
        </w:trPr>
        <w:tc>
          <w:tcPr>
            <w:tcW w:w="10032" w:type="dxa"/>
            <w:gridSpan w:val="1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E4AC203" w14:textId="77777777" w:rsidR="002D54D1" w:rsidRDefault="00000000">
            <w:pPr>
              <w:pStyle w:val="Nagwek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PSYCHOLOGIA KLINICZNA</w:t>
            </w:r>
          </w:p>
        </w:tc>
      </w:tr>
      <w:tr w:rsidR="002D54D1" w14:paraId="5D63C325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0DB866FA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7653361F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Analizuje i porządkuje pogłębioną, współczesną wiedzę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z zakresu psychologii klinicznej, uwzględniając złożoność uwarunkowań zaburzeń (biologicznych, psychologicznych i społeczno-kulturowych).</w:t>
            </w:r>
          </w:p>
          <w:p w14:paraId="71503107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Krytycznie omawia obszary zastosowań psychologii klinicznej w diagnozie, wyjaśnianiu i planowaniu pomocy psychologicznej, wskazując ich ograniczenia i konsekwencje praktyczne.</w:t>
            </w:r>
          </w:p>
          <w:p w14:paraId="2C75DDCB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Ocenia możliwość zastosowania teorii psychologicznych w praktyce klinicznej, odnosząc je do podejść diagnostycznych i interwencyjnych oraz dowodów naukowych.</w:t>
            </w:r>
          </w:p>
          <w:p w14:paraId="40CA7F26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337CBCCE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Stosuje pogłębioną wiedzę kliniczną do analizy przypadków, formułowania hipotez klinicznych i uzasadniania wniosków.</w:t>
            </w:r>
          </w:p>
          <w:p w14:paraId="5364092B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Dobiera i uzasadnia zastosowanie psychologii klinicznej w typowych sytuacjach praktycznych (np. diagnoza różnicowa, planowanie interwencji/psychoedukacji), z uwzględnieniem kontekstu pacjenta.</w:t>
            </w:r>
          </w:p>
          <w:p w14:paraId="3FC0AAC3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Przekłada teorie psychologiczne na konkretne rekomendacje kliniczne: projektuje wstępny plan postępowania i argumentuje wybór podejść/interwencji na podstawie przesłanek teoretycznych i danych z przypadku.</w:t>
            </w:r>
          </w:p>
        </w:tc>
      </w:tr>
      <w:tr w:rsidR="002D54D1" w14:paraId="24B03514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57424725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</w:tc>
      </w:tr>
      <w:tr w:rsidR="002D54D1" w14:paraId="37221669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16F1038E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Student posiada podstawową wiedzę z zakresu metodologii badań psychologicznych oraz statystyki (na poziomie studiów licencjackich), umożliwiającą rozumienie i krytyczną analizę wyników badań klinicznych.</w:t>
            </w:r>
          </w:p>
        </w:tc>
      </w:tr>
      <w:tr w:rsidR="002D54D1" w14:paraId="4536F5F5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31C279FC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0CCE8919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</w:t>
            </w:r>
            <w:r>
              <w:rPr>
                <w:rFonts w:ascii="Times New Roman" w:eastAsia="Times New Roman" w:hAnsi="Times New Roman" w:cs="Times New Roman"/>
              </w:rPr>
              <w:t xml:space="preserve"> Wykłady (prezentacja multimedialna, schematy/infografiki, fragmenty ICD-11 i DSM-5, krótkie materiały źródłowe)</w:t>
            </w:r>
          </w:p>
          <w:p w14:paraId="6A6E41AC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Dyskusja (studia przypadków, pytania problemowe/scenariusze kliniczne)</w:t>
            </w:r>
          </w:p>
          <w:p w14:paraId="22DA492A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Analiza literatury przedmiotu (artykuły naukowe – przeglądy i metaanalizy, rozdziały z podręczników, wytyczne kliniczne, opisy przypadków/raporty kliniczne)</w:t>
            </w:r>
          </w:p>
          <w:p w14:paraId="2B359664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Mk4</w:t>
            </w:r>
            <w:r>
              <w:rPr>
                <w:rFonts w:ascii="Times New Roman" w:eastAsia="Times New Roman" w:hAnsi="Times New Roman" w:cs="Times New Roman"/>
              </w:rPr>
              <w:t xml:space="preserve"> Ćwiczenia (karty pracy do analizy przypadku, przykładowe wyniki/raporty diagnostyczne, materiały psychoedukacyjne, scenariusze interwencji i procedur)</w:t>
            </w:r>
          </w:p>
          <w:p w14:paraId="41D754C4" w14:textId="77777777" w:rsidR="002D54D1" w:rsidRDefault="002D54D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DBC641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1651B0C4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Prezentacje i materiały wizualne (slajdy, schematy/infografiki, materiały udostępniane studentom)</w:t>
            </w:r>
          </w:p>
          <w:p w14:paraId="56F6FA23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</w:t>
            </w:r>
            <w:r>
              <w:rPr>
                <w:rFonts w:ascii="Times New Roman" w:eastAsia="Times New Roman" w:hAnsi="Times New Roman" w:cs="Times New Roman"/>
              </w:rPr>
              <w:t xml:space="preserve"> Źródła i dokumenty profesjonalne (fragmenty ICD-11 i DSM-5, wytyczne kliniczne, krótkie materiały źródłowe)</w:t>
            </w:r>
          </w:p>
          <w:p w14:paraId="5BE6EDA0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</w:t>
            </w:r>
            <w:r>
              <w:rPr>
                <w:rFonts w:ascii="Times New Roman" w:eastAsia="Times New Roman" w:hAnsi="Times New Roman" w:cs="Times New Roman"/>
              </w:rPr>
              <w:t xml:space="preserve"> Materiały do pracy na przypadkach (studia przypadków, karty pracy, raporty/przykładowe wyniki diagnostyczne, materiały psychoedukacyjne, scenariusze interwencji i procedur)</w:t>
            </w:r>
          </w:p>
        </w:tc>
      </w:tr>
      <w:tr w:rsidR="002D54D1" w14:paraId="08BB6CC3" w14:textId="77777777">
        <w:trPr>
          <w:trHeight w:val="273"/>
          <w:jc w:val="center"/>
        </w:trPr>
        <w:tc>
          <w:tcPr>
            <w:tcW w:w="10032" w:type="dxa"/>
            <w:gridSpan w:val="12"/>
            <w:shd w:val="clear" w:color="auto" w:fill="DBE5F1"/>
            <w:vAlign w:val="center"/>
          </w:tcPr>
          <w:p w14:paraId="688681E2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0B3198B1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2D54D1" w14:paraId="47506387" w14:textId="77777777">
        <w:trPr>
          <w:trHeight w:val="416"/>
          <w:jc w:val="center"/>
        </w:trPr>
        <w:tc>
          <w:tcPr>
            <w:tcW w:w="10032" w:type="dxa"/>
            <w:gridSpan w:val="12"/>
          </w:tcPr>
          <w:p w14:paraId="194819A2" w14:textId="77777777" w:rsidR="002D54D1" w:rsidRDefault="00000000">
            <w:pPr>
              <w:spacing w:after="0" w:line="240" w:lineRule="auto"/>
              <w:ind w:left="209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  <w:p w14:paraId="7E0C1671" w14:textId="77777777" w:rsidR="002D54D1" w:rsidRDefault="00000000">
            <w:pPr>
              <w:numPr>
                <w:ilvl w:val="0"/>
                <w:numId w:val="4"/>
              </w:numPr>
              <w:tabs>
                <w:tab w:val="left" w:pos="206"/>
                <w:tab w:val="left" w:pos="348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Psychologia kliniczna jako dyscyplina naukowa i obszar praktyki: zakres, cele, relacje z innymi dziedzinami, współczesne wyzwania i standardy pracy.</w:t>
            </w:r>
          </w:p>
          <w:p w14:paraId="30C5EEE7" w14:textId="77777777" w:rsidR="002D54D1" w:rsidRDefault="00000000">
            <w:pPr>
              <w:numPr>
                <w:ilvl w:val="0"/>
                <w:numId w:val="4"/>
              </w:numPr>
              <w:tabs>
                <w:tab w:val="left" w:pos="206"/>
                <w:tab w:val="left" w:pos="348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Norma, normalność i zdrowie psychiczne w różnych perspektywach teoretycznych; analiza konsekwencji definicyjnych dla diagnozy, oceny funkcjonowania i planowania pomocy.</w:t>
            </w:r>
          </w:p>
          <w:p w14:paraId="346AE584" w14:textId="77777777" w:rsidR="002D54D1" w:rsidRDefault="00000000">
            <w:pPr>
              <w:numPr>
                <w:ilvl w:val="0"/>
                <w:numId w:val="4"/>
              </w:numPr>
              <w:tabs>
                <w:tab w:val="left" w:pos="206"/>
                <w:tab w:val="left" w:pos="348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Psychologia kliniczna a psychopatologia: krytyczna analiza wzajemnych zależności, odmienności perspektyw oraz implikacji dla wyjaśniania i rozumienia zaburzeń.</w:t>
            </w:r>
          </w:p>
          <w:p w14:paraId="03F3CB61" w14:textId="77777777" w:rsidR="002D54D1" w:rsidRDefault="00000000">
            <w:pPr>
              <w:numPr>
                <w:ilvl w:val="0"/>
                <w:numId w:val="4"/>
              </w:numPr>
              <w:tabs>
                <w:tab w:val="left" w:pos="206"/>
                <w:tab w:val="left" w:pos="348"/>
              </w:tabs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Porównawcza analiza systemów klasyfikacji zaburzeń psychicznych ICD-11 i DSM-5: założenia, podobieństwa i różnice; ocena użyteczności i ograniczeń w diagnozie klinicznej i komunikacji profesjonalnej. </w:t>
            </w:r>
          </w:p>
          <w:p w14:paraId="3ACDF439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Opisy kliniczne i wskazówki diagnostyczne w klasyfikacjach: ocena ich przydatności w różnych obszarach pracy psychologa klinicznego (diagnoza różnicowa, planowanie oddziaływań, dokumentacja, współpraca interdyscyplinarna).</w:t>
            </w:r>
          </w:p>
          <w:p w14:paraId="0A1EFA17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Znaczenie opisu procesów psychicznych w wyjaśnianiu genezy i mechanizmów zaburzeń: integracja danych o procesach poznawczych, emocjonalnych i behawioralnych w rozumieniu problemów klinicznych.</w:t>
            </w:r>
          </w:p>
          <w:p w14:paraId="616CED7D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Psychoterapia jako podstawowa forma leczenia zaburzeń psychicznych: przegląd podejść, mechanizmy zmiany, wskazania i przeciwwskazania; kryteria doboru oddziaływań do problemu i kontekstu pacjenta.</w:t>
            </w:r>
          </w:p>
          <w:p w14:paraId="2ADFC9E6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Psychopatologia uwarunkowana czynnikami społecznymi: analiza mechanizmów i konsekwencji klinicznych:</w:t>
            </w:r>
          </w:p>
          <w:p w14:paraId="66514F33" w14:textId="77777777" w:rsidR="002D54D1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przemoc domowa,</w:t>
            </w:r>
          </w:p>
          <w:p w14:paraId="58583EC7" w14:textId="77777777" w:rsidR="002D54D1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uzależnienia,</w:t>
            </w:r>
          </w:p>
          <w:p w14:paraId="4C6D3DAC" w14:textId="77777777" w:rsidR="002D54D1" w:rsidRDefault="00000000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wykorzystanie seksualne.</w:t>
            </w:r>
          </w:p>
          <w:p w14:paraId="15E3C01C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Psychologia zdrowia i choroby: pogłębiona analiza mechanizmów i czynników ryzyka/ochronnych:</w:t>
            </w:r>
          </w:p>
          <w:p w14:paraId="5D4DB6BB" w14:textId="77777777" w:rsidR="002D54D1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znaczenie poczucia koherencji dla zdrowia psychicznego,</w:t>
            </w:r>
          </w:p>
          <w:p w14:paraId="0968057E" w14:textId="77777777" w:rsidR="002D54D1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rola stresu i mechanizmów stresu w powstawaniu zaburzeń,</w:t>
            </w:r>
          </w:p>
          <w:p w14:paraId="76A77947" w14:textId="77777777" w:rsidR="002D54D1" w:rsidRDefault="0000000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psychologiczne mechanizmy traumy i ich wpływ na różne zaburzenia psychiczne.</w:t>
            </w:r>
          </w:p>
          <w:p w14:paraId="11E49614" w14:textId="77777777" w:rsidR="002D54D1" w:rsidRDefault="00000000">
            <w:p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  <w:p w14:paraId="095E255B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Zaburzenia nerwicowe: analiza kryteriów diagnostycznych, diagnoza różnicowa, formułowanie hipotez klinicznych oraz dobór i uzasadnianie strategii terapeutycznych.</w:t>
            </w:r>
          </w:p>
          <w:p w14:paraId="7BCBCE59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Zaburzenia zachowania: interpretacja kryteriów diagnostycznych, ocena funkcjonowania, projektowanie oddziaływań w terapii indywidualnej i grupowej oraz uzasadnianie wyboru metod.</w:t>
            </w:r>
          </w:p>
          <w:p w14:paraId="54B838AC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Zaburzenia osobowości: krytyczna analiza podejść diagnostycznych, ryzyka błędu diagnostycznego, możliwości leczenia oraz ograniczeń poszczególnych oddziaływań.</w:t>
            </w:r>
          </w:p>
          <w:p w14:paraId="3A630091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Psychozy: diagnoza różnicowa, analiza obrazu klinicznego, formułowanie wniosków oraz planowanie interwencji terapeutycznej (z uwzględnieniem współpracy interdyscyplinarnej).</w:t>
            </w:r>
          </w:p>
          <w:p w14:paraId="03198B9A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Interwencje psychologiczne w kontekście przemocy, urazów psychicznych i uzależnień: planowanie działań pomocowych, ocena ryzyka, dobór form wsparcia oraz elementy psychoedukacji i pracy z systemem społecznym pacjenta.</w:t>
            </w:r>
          </w:p>
          <w:p w14:paraId="060D4D05" w14:textId="77777777" w:rsidR="002D54D1" w:rsidRDefault="00000000">
            <w:pPr>
              <w:numPr>
                <w:ilvl w:val="0"/>
                <w:numId w:val="4"/>
              </w:numPr>
              <w:spacing w:after="0" w:line="240" w:lineRule="auto"/>
              <w:ind w:left="3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Aspekty prawne i etyczne leczenia zaburzeń psychicznych w Polsce: analiza dylematów etycznych, odpowiedzialność zawodowa, granice kompetencji, rola psychologa klinicznego w działaniach interwencyjnych i dokumentacji.</w:t>
            </w:r>
          </w:p>
        </w:tc>
      </w:tr>
      <w:tr w:rsidR="002D54D1" w14:paraId="5EAF9324" w14:textId="77777777">
        <w:trPr>
          <w:trHeight w:val="704"/>
          <w:jc w:val="center"/>
        </w:trPr>
        <w:tc>
          <w:tcPr>
            <w:tcW w:w="10032" w:type="dxa"/>
            <w:gridSpan w:val="12"/>
            <w:vAlign w:val="center"/>
          </w:tcPr>
          <w:p w14:paraId="7207110A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1425A9D7" w14:textId="77777777" w:rsidR="002D54D1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Cierpiałkowska, L., &amp; Sęk, H. (Red.). (2019).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kliniczna</w:t>
            </w:r>
            <w:r>
              <w:rPr>
                <w:rFonts w:ascii="Times New Roman" w:eastAsia="Times New Roman" w:hAnsi="Times New Roman" w:cs="Times New Roman"/>
              </w:rPr>
              <w:t xml:space="preserve"> (wybrane rozdziały). Wydawnictwo Naukowe PWN.</w:t>
            </w:r>
          </w:p>
          <w:p w14:paraId="03F164AA" w14:textId="77777777" w:rsidR="002D54D1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Sęk, H. (2005).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Wprowadzenie do psychologii klinicznej</w:t>
            </w:r>
            <w:r>
              <w:rPr>
                <w:rFonts w:ascii="Times New Roman" w:eastAsia="Times New Roman" w:hAnsi="Times New Roman" w:cs="Times New Roman"/>
              </w:rPr>
              <w:t>. Wydawnictwo Naukowe Scholar.</w:t>
            </w:r>
          </w:p>
        </w:tc>
      </w:tr>
      <w:tr w:rsidR="002D54D1" w14:paraId="000C34D8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10ACAD90" w14:textId="77777777" w:rsidR="002D54D1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</w:t>
            </w:r>
          </w:p>
          <w:p w14:paraId="4B8B2CDA" w14:textId="77777777" w:rsidR="002D54D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Sęk, H., &amp; Heszen, I. (2007).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 zdrowia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3544823C" w14:textId="77777777" w:rsidR="002D54D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Cierpiałkowska, L., &amp; Zalewska, M. (2018). Psychopatologia. W: J. Strelau &amp; D. Doliński (Red.),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Psychologia. Podręcznik akademicki</w:t>
            </w:r>
            <w:r>
              <w:rPr>
                <w:rFonts w:ascii="Times New Roman" w:eastAsia="Times New Roman" w:hAnsi="Times New Roman" w:cs="Times New Roman"/>
              </w:rPr>
              <w:t xml:space="preserve"> (t. 2). Gdańskie Wydawnictwo Psychologiczne.</w:t>
            </w:r>
          </w:p>
          <w:p w14:paraId="204505E0" w14:textId="77777777" w:rsidR="002D54D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Sęk, H. (2014).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Społeczna psychologia kliniczna</w:t>
            </w:r>
            <w:r>
              <w:rPr>
                <w:rFonts w:ascii="Times New Roman" w:eastAsia="Times New Roman" w:hAnsi="Times New Roman" w:cs="Times New Roman"/>
              </w:rPr>
              <w:t>. Wydawnictwo Naukowe PWN.</w:t>
            </w:r>
          </w:p>
          <w:p w14:paraId="12FF2032" w14:textId="77777777" w:rsidR="002D54D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0428F">
              <w:rPr>
                <w:rFonts w:ascii="Times New Roman" w:eastAsia="Times New Roman" w:hAnsi="Times New Roman" w:cs="Times New Roman"/>
                <w:lang w:val="en-US"/>
              </w:rPr>
              <w:t xml:space="preserve">van der Kolk, B. A. (2018).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Strach ucieleśniony</w:t>
            </w:r>
            <w:r>
              <w:rPr>
                <w:rFonts w:ascii="Times New Roman" w:eastAsia="Times New Roman" w:hAnsi="Times New Roman" w:cs="Times New Roman"/>
              </w:rPr>
              <w:t>. Czarna Owca.</w:t>
            </w:r>
          </w:p>
          <w:p w14:paraId="6082CC05" w14:textId="77777777" w:rsidR="002D54D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Fisher, J. (2019).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Terapia osób, które przetrwały traumy złożone</w:t>
            </w:r>
            <w:r>
              <w:rPr>
                <w:rFonts w:ascii="Times New Roman" w:eastAsia="Times New Roman" w:hAnsi="Times New Roman" w:cs="Times New Roman"/>
              </w:rPr>
              <w:t>. Wydawnictwo Uniwersytetu Jagiellońskiego.</w:t>
            </w:r>
          </w:p>
          <w:p w14:paraId="14D9BBF4" w14:textId="77777777" w:rsidR="002D54D1" w:rsidRDefault="00000000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0428F">
              <w:rPr>
                <w:rFonts w:ascii="Times New Roman" w:eastAsia="Times New Roman" w:hAnsi="Times New Roman" w:cs="Times New Roman"/>
                <w:lang w:val="en-US"/>
              </w:rPr>
              <w:t xml:space="preserve">Comer, R. J. (2016). </w:t>
            </w:r>
            <w:r w:rsidRPr="0010428F">
              <w:rPr>
                <w:rFonts w:ascii="Times New Roman" w:eastAsia="Times New Roman" w:hAnsi="Times New Roman" w:cs="Times New Roman"/>
                <w:i/>
                <w:iCs/>
                <w:lang w:val="en-US"/>
              </w:rPr>
              <w:t>Abnormal psychology</w:t>
            </w:r>
            <w:r w:rsidRPr="0010428F">
              <w:rPr>
                <w:rFonts w:ascii="Times New Roman" w:eastAsia="Times New Roman" w:hAnsi="Times New Roman" w:cs="Times New Roman"/>
                <w:lang w:val="en-US"/>
              </w:rPr>
              <w:t xml:space="preserve"> (10th ed.). </w:t>
            </w:r>
            <w:r>
              <w:rPr>
                <w:rFonts w:ascii="Times New Roman" w:eastAsia="Times New Roman" w:hAnsi="Times New Roman" w:cs="Times New Roman"/>
              </w:rPr>
              <w:t>Worth Publishers. (ISBN 978-1464176971)</w:t>
            </w:r>
          </w:p>
        </w:tc>
      </w:tr>
      <w:tr w:rsidR="002D54D1" w14:paraId="7E618582" w14:textId="77777777">
        <w:trPr>
          <w:trHeight w:val="567"/>
          <w:jc w:val="center"/>
        </w:trPr>
        <w:tc>
          <w:tcPr>
            <w:tcW w:w="10032" w:type="dxa"/>
            <w:gridSpan w:val="12"/>
            <w:vAlign w:val="center"/>
          </w:tcPr>
          <w:p w14:paraId="6F53F498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02DB58EB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>
              <w:rPr>
                <w:rFonts w:ascii="Times New Roman" w:eastAsia="Times New Roman" w:hAnsi="Times New Roman" w:cs="Times New Roman"/>
              </w:rPr>
              <w:t>ocena aktywności na zajęciach</w:t>
            </w:r>
          </w:p>
          <w:p w14:paraId="33EEEDA3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F2 – </w:t>
            </w:r>
            <w:r>
              <w:rPr>
                <w:rFonts w:ascii="Times New Roman" w:eastAsia="Times New Roman" w:hAnsi="Times New Roman" w:cs="Times New Roman"/>
              </w:rPr>
              <w:t>projekt badawczy</w:t>
            </w:r>
          </w:p>
          <w:p w14:paraId="701F5DE1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P1 – </w:t>
            </w:r>
            <w:r>
              <w:rPr>
                <w:rFonts w:ascii="Times New Roman" w:eastAsia="Times New Roman" w:hAnsi="Times New Roman" w:cs="Times New Roman"/>
              </w:rPr>
              <w:t>egzamin testowy</w:t>
            </w:r>
          </w:p>
        </w:tc>
      </w:tr>
      <w:tr w:rsidR="002D54D1" w14:paraId="56A6049F" w14:textId="77777777">
        <w:trPr>
          <w:trHeight w:val="575"/>
          <w:jc w:val="center"/>
        </w:trPr>
        <w:tc>
          <w:tcPr>
            <w:tcW w:w="5015" w:type="dxa"/>
            <w:gridSpan w:val="5"/>
            <w:vAlign w:val="center"/>
          </w:tcPr>
          <w:p w14:paraId="7E4BC755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5017" w:type="dxa"/>
            <w:gridSpan w:val="7"/>
            <w:vAlign w:val="center"/>
          </w:tcPr>
          <w:p w14:paraId="3C2AF281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2D54D1" w14:paraId="17194D33" w14:textId="77777777">
        <w:trPr>
          <w:trHeight w:val="575"/>
          <w:jc w:val="center"/>
        </w:trPr>
        <w:tc>
          <w:tcPr>
            <w:tcW w:w="5015" w:type="dxa"/>
            <w:gridSpan w:val="5"/>
            <w:vAlign w:val="center"/>
          </w:tcPr>
          <w:p w14:paraId="3A0C25B9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5017" w:type="dxa"/>
            <w:gridSpan w:val="7"/>
            <w:vAlign w:val="center"/>
          </w:tcPr>
          <w:p w14:paraId="7F0FFB80" w14:textId="77777777" w:rsidR="002D54D1" w:rsidRDefault="00000000">
            <w:pPr>
              <w:numPr>
                <w:ilvl w:val="0"/>
                <w:numId w:val="5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233060C7" w14:textId="77777777" w:rsidR="002D54D1" w:rsidRDefault="00000000">
            <w:pPr>
              <w:numPr>
                <w:ilvl w:val="0"/>
                <w:numId w:val="5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pisemny (pytania zamknięte, jednokrotny wybór).</w:t>
            </w:r>
          </w:p>
          <w:p w14:paraId="11FD6EC3" w14:textId="77777777" w:rsidR="002D54D1" w:rsidRDefault="00000000">
            <w:pPr>
              <w:numPr>
                <w:ilvl w:val="0"/>
                <w:numId w:val="5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odbędzie się stacjonarnie.</w:t>
            </w:r>
          </w:p>
          <w:p w14:paraId="428EF8B8" w14:textId="77777777" w:rsidR="002D54D1" w:rsidRDefault="00000000">
            <w:pPr>
              <w:numPr>
                <w:ilvl w:val="0"/>
                <w:numId w:val="5"/>
              </w:numPr>
              <w:spacing w:after="0" w:line="240" w:lineRule="auto"/>
              <w:ind w:left="415" w:hanging="4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Kryteria oceny końcowej: </w:t>
            </w:r>
          </w:p>
          <w:p w14:paraId="01E8886F" w14:textId="77777777" w:rsidR="002D54D1" w:rsidRDefault="00000000">
            <w:pPr>
              <w:spacing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Bardzo dobra (5,0) - od 91 % do 100 %</w:t>
            </w:r>
          </w:p>
          <w:p w14:paraId="50C6B8C7" w14:textId="77777777" w:rsidR="002D54D1" w:rsidRDefault="00000000">
            <w:pPr>
              <w:spacing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plus (4,5) - od 81 % do 90 %</w:t>
            </w:r>
          </w:p>
          <w:p w14:paraId="72AB9BCF" w14:textId="77777777" w:rsidR="002D54D1" w:rsidRDefault="00000000">
            <w:pPr>
              <w:spacing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Dobra (4,0) - od 71 % do 80 %</w:t>
            </w:r>
          </w:p>
          <w:p w14:paraId="3C854C29" w14:textId="77777777" w:rsidR="002D54D1" w:rsidRDefault="00000000">
            <w:pPr>
              <w:spacing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plus (3,5) - od 61 % do 70 %</w:t>
            </w:r>
          </w:p>
          <w:p w14:paraId="60C79364" w14:textId="77777777" w:rsidR="002D54D1" w:rsidRDefault="00000000">
            <w:pPr>
              <w:spacing w:after="0" w:line="240" w:lineRule="auto"/>
              <w:ind w:left="4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Dostateczna (3,0) - od 51 % do 60 %</w:t>
            </w:r>
          </w:p>
          <w:p w14:paraId="636E3CA4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Niedostateczna (2,0) - poniżej 51 %</w:t>
            </w:r>
          </w:p>
        </w:tc>
      </w:tr>
      <w:tr w:rsidR="002D54D1" w14:paraId="210FB05E" w14:textId="77777777">
        <w:trPr>
          <w:trHeight w:val="575"/>
          <w:jc w:val="center"/>
        </w:trPr>
        <w:tc>
          <w:tcPr>
            <w:tcW w:w="5015" w:type="dxa"/>
            <w:gridSpan w:val="5"/>
            <w:vAlign w:val="center"/>
          </w:tcPr>
          <w:p w14:paraId="40B36D67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5017" w:type="dxa"/>
            <w:gridSpan w:val="7"/>
            <w:vAlign w:val="center"/>
          </w:tcPr>
          <w:p w14:paraId="3E78D405" w14:textId="77777777" w:rsidR="002D54D1" w:rsidRDefault="00000000">
            <w:pPr>
              <w:numPr>
                <w:ilvl w:val="0"/>
                <w:numId w:val="5"/>
              </w:numPr>
              <w:spacing w:after="0" w:line="240" w:lineRule="auto"/>
              <w:ind w:left="446" w:hanging="3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Minimum 80% obecności na zajęciach</w:t>
            </w:r>
          </w:p>
          <w:p w14:paraId="3C6AA839" w14:textId="77777777" w:rsidR="002D54D1" w:rsidRDefault="00000000">
            <w:pPr>
              <w:numPr>
                <w:ilvl w:val="0"/>
                <w:numId w:val="5"/>
              </w:numPr>
              <w:spacing w:after="0" w:line="240" w:lineRule="auto"/>
              <w:ind w:left="446" w:hanging="3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Aktywny udział w zajęciach; Student powinien regularnie uczestniczyć w zajęciach, aktywnie uczestnicząc w dyskusjach i zadaniach praktycznych.</w:t>
            </w:r>
          </w:p>
          <w:p w14:paraId="62C45577" w14:textId="77777777" w:rsidR="002D54D1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Wykonanie projektu badawczego; Napisanie raportu z analizy przypadku klinicznego zawierającego szczegółowy opis objawów oraz interpretację mechanizmów psychologicznych związanych z konkretnym przypadkiem klinicznym. Raport będzie oceniany pod względem umiejętności identyfikacji i opisu symptomów, zrozumienia mechanizmów psychologicznych oraz formułowania wniosków.</w:t>
            </w:r>
          </w:p>
        </w:tc>
      </w:tr>
      <w:tr w:rsidR="002D54D1" w14:paraId="48643BE2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1EDBC7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2D54D1" w14:paraId="74B03C92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85A235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50AC36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8F8325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2D54D1" w14:paraId="230C72B0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810AEB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</w:tr>
      <w:tr w:rsidR="002D54D1" w14:paraId="7171994B" w14:textId="77777777">
        <w:trPr>
          <w:gridAfter w:val="1"/>
          <w:trHeight w:val="546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987E3D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82FBBC3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i uporządkowaną wiedzę o biologicznych, społecznych i psychologicznych mechanizmach powstawania oraz podtrzymywania zaburzeń psychicznych.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42D3E6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K_W11</w:t>
            </w:r>
          </w:p>
          <w:p w14:paraId="60C7F0E6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10D69ADE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12C81C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193A960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Charakteryzuje i krytycznie analizuje teoretyczne podstawy leczenia zaburzeń psychicznych, porównując podejścia oraz oceniając ich ograniczenia i przesłanki empiryczne.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D57B2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K_W12</w:t>
            </w:r>
          </w:p>
          <w:p w14:paraId="70E15DC1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5C611C72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0003E7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A272CF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Porównuje i krytycznie ocenia zastosowania systemów klasyfikacji (ICD-11, DSM-5) w diagnozie klinicznej, uzasadniając ich użyteczność i ograniczenia w praktyce psychologa.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1B4A6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K_W15</w:t>
            </w:r>
          </w:p>
          <w:p w14:paraId="100193FB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96B9C2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0BD64C3A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8D1A82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3E9F95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Uwzględnia społeczny kontekst zaburzeń psychicznych oraz rozumie konieczność współdziałania metod psychologicznych, społecznych i medycznych w procesie pomocy, z poszanowaniem standardów profesjonalnych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7CCD0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K_K01  </w:t>
            </w:r>
          </w:p>
          <w:p w14:paraId="5BD169D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K_K12    </w:t>
            </w:r>
          </w:p>
        </w:tc>
      </w:tr>
      <w:tr w:rsidR="002D54D1" w14:paraId="5641D3D4" w14:textId="77777777" w:rsidTr="0010428F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7370EDC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2D54D1" w14:paraId="0D507135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6857EA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C017510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Samodzielnie wyjaśnia i interpretuje biologiczne, psychologiczne, społeczne i kulturowe mechanizmy leżące u podłoża zaburzeń psychicznych, integrując je w analizie przypadku.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EF4C47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K_U07  </w:t>
            </w:r>
          </w:p>
          <w:p w14:paraId="4F2231B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K_U09 </w:t>
            </w:r>
          </w:p>
          <w:p w14:paraId="6DDB336B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K_U17</w:t>
            </w:r>
          </w:p>
        </w:tc>
      </w:tr>
      <w:tr w:rsidR="002D54D1" w14:paraId="1CB67483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13AFEE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E2_U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5127B6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Wykonuje wnioskowanie diagnostyczne: odróżnia przejawy zaburzeń procesów psychicznych od stanu zdrowia na podstawie objawów oraz odnosi wnioski do wybranego systemu klasyfikacji, z uzasadnieniem.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6D3A5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K_U17</w:t>
            </w:r>
          </w:p>
          <w:p w14:paraId="15634764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60B0C7E1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A08D60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5C4FCE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Projektuje i uzasadnia wstępny sposób leczenia/postępowania (np. interwencje psychologiczne, psychoedukację, skierowania) dla różnych zaburzeń psychicznych, adekwatnie do rozpoznania i kontekstu pacjenta.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6E409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K_U18</w:t>
            </w:r>
          </w:p>
        </w:tc>
      </w:tr>
      <w:tr w:rsidR="002D54D1" w14:paraId="199148D6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F0F992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6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A35963" w14:textId="77777777" w:rsidR="002D54D1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Rozpoznaje ryzyko błędu diagnostycznego oraz możliwe skutki uboczne oddziaływań terapeutycznych; wykazuje odpowiedzialność i gotowość do weryfikacji wniosków (np. konsultacji/superwizji) w celu minimalizacji ryzyka.</w:t>
            </w:r>
          </w:p>
        </w:tc>
        <w:tc>
          <w:tcPr>
            <w:tcW w:w="2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A914D7" w14:textId="77B3D731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</w:t>
            </w:r>
            <w:r w:rsidR="005270E0">
              <w:rPr>
                <w:rFonts w:ascii="Times New Roman" w:eastAsia="Times New Roman" w:hAnsi="Times New Roman" w:cs="Times New Roman"/>
              </w:rPr>
              <w:t>02</w:t>
            </w:r>
          </w:p>
        </w:tc>
      </w:tr>
      <w:tr w:rsidR="002D54D1" w14:paraId="2CD04F04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5A3ED3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2D54D1" w14:paraId="70EBB4F3" w14:textId="77777777">
        <w:trPr>
          <w:gridAfter w:val="1"/>
          <w:trHeight w:val="1638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E7425F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8E25D6F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7F27553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2FC524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4EC617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B6370D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2D54D1" w14:paraId="4E44AF9E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89C2D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058A6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K_W11</w:t>
            </w:r>
          </w:p>
          <w:p w14:paraId="749B5D64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5ACC9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66F7FF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644CE4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A93435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0CDB6B1B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121C7C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DBA3F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K_W12</w:t>
            </w:r>
          </w:p>
          <w:p w14:paraId="0E2D987E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3FCCE1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A38291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D4E2AC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908ACD6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0A106D4C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8A8AAB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AA52B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K_W15</w:t>
            </w:r>
          </w:p>
          <w:p w14:paraId="7634630A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2C85CAF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988EB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A73CCC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1-9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D43AF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E631C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5E63773C" w14:textId="77777777">
        <w:trPr>
          <w:gridAfter w:val="1"/>
          <w:trHeight w:val="39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3DB375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7EF52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K_U17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C64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B5E42A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10-15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1FEE15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17CEC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7849DFF0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8E230AF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872750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K_U17</w:t>
            </w:r>
          </w:p>
          <w:p w14:paraId="2A006403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09921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3675BD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10-15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24FB76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3B481A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2D54D1" w14:paraId="1FDF7AEF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20F9D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E3_U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1E80E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44142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CC60E2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10-15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1912C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DF15F3D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320E2FE0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B7BD925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4654BB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K_K01</w:t>
            </w:r>
          </w:p>
          <w:p w14:paraId="5A2D602D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K_K12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CF7AD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A73695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1-15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4E5D4BB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1F0BA3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579A4D51" w14:textId="77777777">
        <w:trPr>
          <w:gridAfter w:val="1"/>
          <w:trHeight w:val="567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4F7F0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C9743B" w14:textId="62AF4AFD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</w:t>
            </w:r>
            <w:r w:rsidR="005270E0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7CCDDC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C2, C3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F21CE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1-15</w:t>
            </w:r>
          </w:p>
        </w:tc>
        <w:tc>
          <w:tcPr>
            <w:tcW w:w="1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4BBBA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56B11E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</w:tr>
      <w:tr w:rsidR="002D54D1" w14:paraId="4DA46CCA" w14:textId="77777777">
        <w:trPr>
          <w:gridAfter w:val="1"/>
          <w:trHeight w:val="567"/>
          <w:jc w:val="center"/>
        </w:trPr>
        <w:tc>
          <w:tcPr>
            <w:tcW w:w="100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594EF1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2D54D1" w14:paraId="7CFCCAF0" w14:textId="77777777">
        <w:trPr>
          <w:trHeight w:val="480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7EE66C3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4FE91776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C35F4CA" w14:textId="77777777" w:rsidR="002D54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2D54D1" w14:paraId="00E9C858" w14:textId="77777777">
        <w:trPr>
          <w:trHeight w:val="480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9024610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37468471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2753B87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51D8B021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2D54D1" w14:paraId="33B61BCD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B7901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7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1F9E11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BFFE41A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DEAD9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D54D1" w14:paraId="0EAC329F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C5545D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643234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E6AF4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0DE63ED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D54D1" w14:paraId="13B98DF0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1EC816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EEFB63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2EE77F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73C782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1DA46163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86DD25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0DEADAE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9B9D2DD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DB3C48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4943F153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38D48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Lektorat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D3E166A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EE8C0B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77F49ED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07AF7B3C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E8DCA0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08C5652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D85139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FB0AB7C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0EE80773" w14:textId="77777777">
        <w:trPr>
          <w:trHeight w:val="567"/>
          <w:jc w:val="center"/>
        </w:trPr>
        <w:tc>
          <w:tcPr>
            <w:tcW w:w="3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174F56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 monograficzny</w:t>
            </w:r>
          </w:p>
        </w:tc>
        <w:tc>
          <w:tcPr>
            <w:tcW w:w="37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34B8C55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53568D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2BFF26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726ECB3D" w14:textId="77777777">
        <w:trPr>
          <w:trHeight w:val="567"/>
          <w:jc w:val="center"/>
        </w:trPr>
        <w:tc>
          <w:tcPr>
            <w:tcW w:w="33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728944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308DB62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D504D0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8265A9A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2D54D1" w14:paraId="40583B65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F77E8C2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6292F38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50561E5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894CE8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6894F91C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EB66BD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D11A5B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8ECE9A8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3CC8847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45CF77A8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25A7E6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DA6FEA4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A83BC7B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AE2B1E5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0E04A5E2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32E3D3A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FEFA1B3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1B42BF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BDC5062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D54D1" w14:paraId="267020D5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5C8041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EB11D72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C38478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BDB25B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D54D1" w14:paraId="3DBC9463" w14:textId="77777777">
        <w:trPr>
          <w:trHeight w:val="567"/>
          <w:jc w:val="center"/>
        </w:trPr>
        <w:tc>
          <w:tcPr>
            <w:tcW w:w="33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A841B4" w14:textId="77777777" w:rsidR="002D54D1" w:rsidRDefault="002D54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FED6450" w14:textId="77777777" w:rsidR="002D54D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12E4DAC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86675A8" w14:textId="77777777" w:rsidR="002D54D1" w:rsidRDefault="002D5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D54D1" w14:paraId="00D26268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6955D8E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B32BDEB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4ACB617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125</w:t>
            </w:r>
          </w:p>
        </w:tc>
      </w:tr>
      <w:tr w:rsidR="002D54D1" w14:paraId="4575D4FE" w14:textId="77777777">
        <w:trPr>
          <w:trHeight w:val="567"/>
          <w:jc w:val="center"/>
        </w:trPr>
        <w:tc>
          <w:tcPr>
            <w:tcW w:w="7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2215DF4A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23D381" w14:textId="77777777" w:rsidR="002D54D1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</w:tbl>
    <w:p w14:paraId="5478DD41" w14:textId="77777777" w:rsidR="002D54D1" w:rsidRDefault="002D54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p w14:paraId="3BCCDD4E" w14:textId="77777777" w:rsidR="002D54D1" w:rsidRDefault="002D54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</w:rPr>
      </w:pPr>
    </w:p>
    <w:sectPr w:rsidR="002D54D1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BB0AD" w14:textId="77777777" w:rsidR="00BF57D4" w:rsidRDefault="00BF57D4">
      <w:pPr>
        <w:spacing w:after="0" w:line="240" w:lineRule="auto"/>
      </w:pPr>
      <w:r>
        <w:separator/>
      </w:r>
    </w:p>
  </w:endnote>
  <w:endnote w:type="continuationSeparator" w:id="0">
    <w:p w14:paraId="4151084C" w14:textId="77777777" w:rsidR="00BF57D4" w:rsidRDefault="00BF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C027994-915E-46A1-91FD-FBEB6624A71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B70DFF1-BEC2-414F-A2EB-5BB5AAAFC815}"/>
    <w:embedBold r:id="rId3" w:fontKey="{8EE12FA2-6A2E-448D-BDFA-50C49222DB32}"/>
    <w:embedItalic r:id="rId4" w:fontKey="{5CD72710-6A57-4BEE-B09F-381DF4EC6C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53138916-CCAA-49D8-B3BF-F7611DD1967D}"/>
    <w:embedBold r:id="rId6" w:fontKey="{14FAD4A5-D630-4B9A-B8F0-6B0D89A28576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2E8A1EC1-A498-48A4-B5D4-E9C5298316EC}"/>
    <w:embedBold r:id="rId8" w:fontKey="{C2DE8CA7-A60F-4229-A708-15039877FD6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F3C2F745-167C-4A54-AA99-1493C7F2AA6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F28C5E8A-4BE5-4696-906E-15E2F6364B3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50FD0EF3-274E-4B6A-A984-912D6C88A4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FB5C" w14:textId="77777777" w:rsidR="002D54D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10428F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988C2E7" w14:textId="77777777" w:rsidR="002D54D1" w:rsidRDefault="002D54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9F91" w14:textId="77777777" w:rsidR="00BF57D4" w:rsidRDefault="00BF57D4">
      <w:pPr>
        <w:spacing w:after="0" w:line="240" w:lineRule="auto"/>
      </w:pPr>
      <w:r>
        <w:separator/>
      </w:r>
    </w:p>
  </w:footnote>
  <w:footnote w:type="continuationSeparator" w:id="0">
    <w:p w14:paraId="52CF07F7" w14:textId="77777777" w:rsidR="00BF57D4" w:rsidRDefault="00BF5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16460"/>
    <w:multiLevelType w:val="multilevel"/>
    <w:tmpl w:val="EA80B22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416D36"/>
    <w:multiLevelType w:val="multilevel"/>
    <w:tmpl w:val="1DD851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9326D76"/>
    <w:multiLevelType w:val="multilevel"/>
    <w:tmpl w:val="284C2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pStyle w:val="CMSHeadL7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71A13"/>
    <w:multiLevelType w:val="multilevel"/>
    <w:tmpl w:val="062AC0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BC6434"/>
    <w:multiLevelType w:val="multilevel"/>
    <w:tmpl w:val="C54EED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9175D"/>
    <w:multiLevelType w:val="multilevel"/>
    <w:tmpl w:val="01AEB802"/>
    <w:lvl w:ilvl="0">
      <w:start w:val="1"/>
      <w:numFmt w:val="bullet"/>
      <w:lvlText w:val="●"/>
      <w:lvlJc w:val="left"/>
      <w:pPr>
        <w:ind w:left="10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1" w:hanging="360"/>
      </w:pPr>
      <w:rPr>
        <w:rFonts w:ascii="Noto Sans Symbols" w:eastAsia="Noto Sans Symbols" w:hAnsi="Noto Sans Symbols" w:cs="Noto Sans Symbols"/>
      </w:rPr>
    </w:lvl>
  </w:abstractNum>
  <w:num w:numId="1" w16cid:durableId="1336148214">
    <w:abstractNumId w:val="5"/>
  </w:num>
  <w:num w:numId="2" w16cid:durableId="1174877164">
    <w:abstractNumId w:val="2"/>
  </w:num>
  <w:num w:numId="3" w16cid:durableId="1579174037">
    <w:abstractNumId w:val="3"/>
  </w:num>
  <w:num w:numId="4" w16cid:durableId="2124182539">
    <w:abstractNumId w:val="4"/>
  </w:num>
  <w:num w:numId="5" w16cid:durableId="670451031">
    <w:abstractNumId w:val="1"/>
  </w:num>
  <w:num w:numId="6" w16cid:durableId="1671715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4D1"/>
    <w:rsid w:val="0010428F"/>
    <w:rsid w:val="00205B0E"/>
    <w:rsid w:val="002D54D1"/>
    <w:rsid w:val="00432FBF"/>
    <w:rsid w:val="005270E0"/>
    <w:rsid w:val="00BF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75C0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Nagwek8">
    <w:name w:val="heading 8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Nagwek9">
    <w:name w:val="heading 9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Nagwek1Znak">
    <w:name w:val="Nagłówek 1 Znak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rsid w:val="009D490C"/>
    <w:rPr>
      <w:rFonts w:ascii="Arial" w:eastAsia="Times New Roman" w:hAnsi="Arial"/>
      <w:b/>
      <w:bCs/>
      <w:sz w:val="22"/>
      <w:szCs w:val="22"/>
      <w:lang w:val="x-none" w:eastAsia="x-none"/>
    </w:rPr>
  </w:style>
  <w:style w:type="character" w:customStyle="1" w:styleId="Nagwek3Znak">
    <w:name w:val="Nagłówek 3 Znak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rsid w:val="009D490C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semiHidden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rsid w:val="009D490C"/>
    <w:rPr>
      <w:vertAlign w:val="superscript"/>
    </w:rPr>
  </w:style>
  <w:style w:type="paragraph" w:styleId="Tekstprzypisukocowego">
    <w:name w:val="endnote text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link w:val="Tekstkomentarza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semiHidden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link w:val="TekstpodstawowywcityZnak"/>
    <w:uiPriority w:val="99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 w:val="x-none" w:eastAsia="x-none"/>
    </w:rPr>
  </w:style>
  <w:style w:type="character" w:customStyle="1" w:styleId="TekstpodstawowywcityZnak">
    <w:name w:val="Tekst podstawowy wcięty Znak"/>
    <w:link w:val="Tekstpodstawowywcity"/>
    <w:uiPriority w:val="99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link w:val="Tekstpodstawowywcity2Znak"/>
    <w:uiPriority w:val="99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link w:val="Tekstpodstawowywcity2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link w:val="Tekstpodstawowy3Znak"/>
    <w:uiPriority w:val="99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</w:rPr>
  </w:style>
  <w:style w:type="paragraph" w:customStyle="1" w:styleId="BodyText31">
    <w:name w:val="Body Text 31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TytuZnak">
    <w:name w:val="Tytuł Znak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styleId="NormalnyWeb">
    <w:name w:val="Normal (Web)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</w:rPr>
  </w:style>
  <w:style w:type="paragraph" w:customStyle="1" w:styleId="Pisma">
    <w:name w:val="Pisma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paragraph" w:styleId="Spistreci1">
    <w:name w:val="toc 1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</w:rPr>
  </w:style>
  <w:style w:type="paragraph" w:styleId="Spistreci2">
    <w:name w:val="toc 2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</w:rPr>
  </w:style>
  <w:style w:type="paragraph" w:styleId="Spistreci3">
    <w:name w:val="toc 3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</w:rPr>
  </w:style>
  <w:style w:type="paragraph" w:styleId="Spistreci6">
    <w:name w:val="toc 6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</w:rPr>
  </w:style>
  <w:style w:type="paragraph" w:styleId="Spistreci7">
    <w:name w:val="toc 7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</w:rPr>
  </w:style>
  <w:style w:type="paragraph" w:styleId="Spistreci8">
    <w:name w:val="toc 8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</w:rPr>
  </w:style>
  <w:style w:type="paragraph" w:styleId="Spistreci9">
    <w:name w:val="toc 9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</w:rPr>
  </w:style>
  <w:style w:type="character" w:styleId="Hipercze">
    <w:name w:val="Hyperlink"/>
    <w:rsid w:val="009D490C"/>
    <w:rPr>
      <w:color w:val="0000FF"/>
      <w:u w:val="single"/>
    </w:rPr>
  </w:style>
  <w:style w:type="paragraph" w:customStyle="1" w:styleId="Tytuowa1">
    <w:name w:val="Tytułowa 1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paragraph" w:styleId="Lista2">
    <w:name w:val="List 2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</w:rPr>
  </w:style>
  <w:style w:type="paragraph" w:styleId="Lista3">
    <w:name w:val="List 3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</w:rPr>
  </w:style>
  <w:style w:type="paragraph" w:styleId="Listapunktowana">
    <w:name w:val="List Bullet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</w:rPr>
  </w:style>
  <w:style w:type="paragraph" w:styleId="Listapunktowana2">
    <w:name w:val="List Bullet 2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</w:rPr>
  </w:style>
  <w:style w:type="paragraph" w:styleId="Listapunktowana3">
    <w:name w:val="List Bullet 3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rsid w:val="009D490C"/>
    <w:rPr>
      <w:sz w:val="16"/>
      <w:szCs w:val="16"/>
    </w:rPr>
  </w:style>
  <w:style w:type="paragraph" w:customStyle="1" w:styleId="xl151">
    <w:name w:val="xl151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</w:rPr>
  </w:style>
  <w:style w:type="paragraph" w:customStyle="1" w:styleId="Text">
    <w:name w:val="Text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 w:eastAsia="x-none"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paragraph" w:customStyle="1" w:styleId="CM1">
    <w:name w:val="CM1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sid w:val="003517EB"/>
  </w:style>
  <w:style w:type="character" w:customStyle="1" w:styleId="h1">
    <w:name w:val="h1"/>
    <w:rsid w:val="00475B2F"/>
  </w:style>
  <w:style w:type="paragraph" w:customStyle="1" w:styleId="Akapitbezwcicia">
    <w:name w:val="Akapit bez wcięcia"/>
    <w:rsid w:val="006B779B"/>
    <w:pPr>
      <w:spacing w:after="0" w:line="380" w:lineRule="atLeast"/>
      <w:jc w:val="both"/>
    </w:pPr>
    <w:rPr>
      <w:rFonts w:ascii="Georgia" w:eastAsia="Times New Roman" w:hAnsi="Georgia"/>
      <w:sz w:val="26"/>
      <w:szCs w:val="28"/>
    </w:rPr>
  </w:style>
  <w:style w:type="character" w:customStyle="1" w:styleId="desc-o-mb-title">
    <w:name w:val="desc-o-mb-title"/>
    <w:rsid w:val="00D80617"/>
  </w:style>
  <w:style w:type="character" w:styleId="Uwydatnienie">
    <w:name w:val="Emphasis"/>
    <w:uiPriority w:val="20"/>
    <w:qFormat/>
    <w:rsid w:val="00D80617"/>
    <w:rPr>
      <w:i/>
      <w:iCs/>
    </w:rPr>
  </w:style>
  <w:style w:type="character" w:customStyle="1" w:styleId="desc-o-b-rest">
    <w:name w:val="desc-o-b-rest"/>
    <w:rsid w:val="00D80617"/>
  </w:style>
  <w:style w:type="character" w:customStyle="1" w:styleId="desc-o-publ">
    <w:name w:val="desc-o-publ"/>
    <w:rsid w:val="00D80617"/>
  </w:style>
  <w:style w:type="paragraph" w:customStyle="1" w:styleId="Akapitzlist1">
    <w:name w:val="Akapit z listą1"/>
    <w:rsid w:val="00A64BA4"/>
    <w:pPr>
      <w:ind w:left="720"/>
      <w:contextualSpacing/>
    </w:pPr>
    <w:rPr>
      <w:rFonts w:eastAsia="Times New Roman"/>
    </w:rPr>
  </w:style>
  <w:style w:type="character" w:customStyle="1" w:styleId="Bodytext2">
    <w:name w:val="Body text (2)_"/>
    <w:link w:val="Bodytext20"/>
    <w:rsid w:val="00126D0C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sid w:val="00126D0C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pl-PL" w:eastAsia="pl-PL" w:bidi="pl-PL"/>
    </w:rPr>
  </w:style>
  <w:style w:type="paragraph" w:customStyle="1" w:styleId="Bodytext20">
    <w:name w:val="Body text (2)"/>
    <w:link w:val="Bodytext2"/>
    <w:rsid w:val="00126D0C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 w:eastAsia="x-none"/>
    </w:rPr>
  </w:style>
  <w:style w:type="paragraph" w:customStyle="1" w:styleId="Bezodstpw1">
    <w:name w:val="Bez odstępów1"/>
    <w:rsid w:val="00126D0C"/>
    <w:pPr>
      <w:suppressAutoHyphens/>
    </w:pPr>
    <w:rPr>
      <w:lang w:eastAsia="ar-SA"/>
    </w:rPr>
  </w:style>
  <w:style w:type="character" w:customStyle="1" w:styleId="name">
    <w:name w:val="name"/>
    <w:basedOn w:val="Domylnaczcionkaakapitu"/>
    <w:rsid w:val="007106F9"/>
  </w:style>
  <w:style w:type="character" w:customStyle="1" w:styleId="Bodytext2Bold">
    <w:name w:val="Body text (2) + Bold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Bodytext2BoldSpacing3pt">
    <w:name w:val="Body text (2) + Bold;Spacing 3 pt"/>
    <w:rsid w:val="00B140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customStyle="1" w:styleId="Tekstpodstawowy21">
    <w:name w:val="Tekst podstawowy 21"/>
    <w:rsid w:val="005F44AD"/>
    <w:pPr>
      <w:suppressAutoHyphens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link w:val="BezodstpwZnak"/>
    <w:uiPriority w:val="1"/>
    <w:qFormat/>
    <w:rsid w:val="005F44AD"/>
    <w:rPr>
      <w:lang w:eastAsia="en-US"/>
    </w:rPr>
  </w:style>
  <w:style w:type="character" w:customStyle="1" w:styleId="BezodstpwZnak">
    <w:name w:val="Bez odstępów Znak"/>
    <w:link w:val="Bezodstpw"/>
    <w:uiPriority w:val="1"/>
    <w:locked/>
    <w:rsid w:val="005F44AD"/>
    <w:rPr>
      <w:sz w:val="22"/>
      <w:szCs w:val="22"/>
      <w:lang w:eastAsia="en-US" w:bidi="ar-SA"/>
    </w:rPr>
  </w:style>
  <w:style w:type="paragraph" w:customStyle="1" w:styleId="Akapitzlist10">
    <w:name w:val="Akapit z listą1"/>
    <w:rsid w:val="004A78AC"/>
    <w:pPr>
      <w:ind w:left="720"/>
      <w:contextualSpacing/>
    </w:pPr>
    <w:rPr>
      <w:rFonts w:eastAsia="Times New Roman"/>
    </w:rPr>
  </w:style>
  <w:style w:type="paragraph" w:styleId="Podtytu">
    <w:name w:val="Subtitle"/>
    <w:basedOn w:val="Normalny"/>
    <w:next w:val="Normalny"/>
    <w:uiPriority w:val="11"/>
    <w:qFormat/>
    <w:pPr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qh5bQzPl87DGze2YR6qhHWPi6A==">CgMxLjA4AHIhMVlZWW5uczVmREMxRjJVN01vSUJhZ1lPZVI4ekZ2bWJM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1535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4</cp:revision>
  <dcterms:created xsi:type="dcterms:W3CDTF">2026-03-11T20:52:00Z</dcterms:created>
  <dcterms:modified xsi:type="dcterms:W3CDTF">2026-03-11T20:54:00Z</dcterms:modified>
</cp:coreProperties>
</file>