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A37C" w14:textId="77777777" w:rsidR="00AD049B" w:rsidRDefault="00E502A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19AC8256" wp14:editId="0A10ED7E">
            <wp:extent cx="2600325" cy="811530"/>
            <wp:effectExtent l="0" t="0" r="0" 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0668931" w14:textId="77777777" w:rsidR="00AD049B" w:rsidRDefault="00AD04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1782"/>
        <w:gridCol w:w="94"/>
        <w:gridCol w:w="1352"/>
        <w:gridCol w:w="293"/>
        <w:gridCol w:w="1748"/>
        <w:gridCol w:w="345"/>
        <w:gridCol w:w="482"/>
        <w:gridCol w:w="981"/>
        <w:gridCol w:w="32"/>
        <w:gridCol w:w="1421"/>
        <w:gridCol w:w="8"/>
      </w:tblGrid>
      <w:tr w:rsidR="00AD049B" w14:paraId="56E9F6FB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8A9D8AB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AD049B" w14:paraId="7C1DDBB1" w14:textId="77777777">
        <w:trPr>
          <w:trHeight w:val="567"/>
          <w:jc w:val="center"/>
        </w:trPr>
        <w:tc>
          <w:tcPr>
            <w:tcW w:w="10032" w:type="dxa"/>
            <w:gridSpan w:val="12"/>
            <w:shd w:val="clear" w:color="auto" w:fill="FFFFFF"/>
            <w:vAlign w:val="center"/>
          </w:tcPr>
          <w:p w14:paraId="68B4D35F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AD049B" w14:paraId="7F9C0058" w14:textId="77777777">
        <w:trPr>
          <w:trHeight w:val="567"/>
          <w:jc w:val="center"/>
        </w:trPr>
        <w:tc>
          <w:tcPr>
            <w:tcW w:w="3276" w:type="dxa"/>
            <w:gridSpan w:val="2"/>
            <w:vAlign w:val="center"/>
          </w:tcPr>
          <w:p w14:paraId="208222FE" w14:textId="77777777" w:rsidR="00AD049B" w:rsidRDefault="00E502AF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756" w:type="dxa"/>
            <w:gridSpan w:val="10"/>
            <w:vAlign w:val="center"/>
          </w:tcPr>
          <w:p w14:paraId="3B853055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</w:tr>
      <w:tr w:rsidR="00AD049B" w14:paraId="363282B6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1EC63D83" w14:textId="77777777" w:rsidR="00AD049B" w:rsidRDefault="00E502AF">
            <w:pPr>
              <w:pStyle w:val="Nagwek1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jednolite magisterskie (7 PRK)</w:t>
            </w:r>
          </w:p>
        </w:tc>
      </w:tr>
      <w:tr w:rsidR="00AD049B" w14:paraId="4348BA71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4ACD5BD4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AD049B" w14:paraId="28015AF2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vAlign w:val="center"/>
          </w:tcPr>
          <w:p w14:paraId="58256681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2DDA3A75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AD049B" w14:paraId="5047A508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70AB17B" w14:textId="77777777" w:rsidR="00AD049B" w:rsidRDefault="00E502AF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marketingu i reklamy</w:t>
            </w:r>
          </w:p>
        </w:tc>
      </w:tr>
      <w:tr w:rsidR="00AD049B" w14:paraId="7333E3B1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7930C94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0F568075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istoty marketingu i reklamy, w tym ich struktur oraz instrumentów, a także rozwijanie zdolności analizy reguł funkcjonowania rynku, przesłanek rozwoju oraz znaczenia orientacji marketingowej i reklamowej w funkcjonowaniu instytucji.</w:t>
            </w:r>
          </w:p>
          <w:p w14:paraId="048AB132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Rozwinięcie pogłębionej wiedzy oraz umiejętności interpretacji zjawisk rynkowych i zasad funkcjonowania przedsiębiorstw na rynkach konkurencyjnych i globalizujących się, z uwzględnieniem uwarunkowań współczesnego otoczenia gospodarczego.</w:t>
            </w:r>
          </w:p>
          <w:p w14:paraId="57BC707A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trwałej motywacji do samodzielnego i krytycznego pogłębiania wiedzy dotyczącej kluczowych składników współczesnego biznesu oraz wykorzystywania jej do uzasadniania wniosków i decyzji w kontekście rynkowym.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AD049B" w14:paraId="71A09E7A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28B2E24E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AD049B" w14:paraId="47D63DAA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39ECADD9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AD049B" w14:paraId="6C78D88C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010888D0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3F75562D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Warsztaty (prezentacje multimedialne, materiały dydaktyczne)</w:t>
            </w:r>
          </w:p>
          <w:p w14:paraId="1377C22F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(artykuły naukowe, studia przypadków, nagrania reklam, przykłady kampanii)</w:t>
            </w:r>
          </w:p>
          <w:p w14:paraId="74614F1A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Metoda problemowa (opisy problemów, scenariusze decyzyjne, raporty branżowe, dane z badań marketingowych)</w:t>
            </w:r>
          </w:p>
          <w:p w14:paraId="542483F7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Praca w podgrupach (karty pracy, szablony analizy, tablice interaktywne)</w:t>
            </w:r>
          </w:p>
          <w:p w14:paraId="17E78DC0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Mk5</w:t>
            </w:r>
            <w:r>
              <w:rPr>
                <w:rFonts w:ascii="Times New Roman" w:eastAsia="Times New Roman" w:hAnsi="Times New Roman" w:cs="Times New Roman"/>
              </w:rPr>
              <w:t xml:space="preserve"> Case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(repozytorium kampanii reklamowych, materiały audiowizualne, artykuły recenzowane, narzędzia do analizy treści)</w:t>
            </w:r>
          </w:p>
          <w:p w14:paraId="2935AB42" w14:textId="77777777" w:rsidR="00AD049B" w:rsidRDefault="00AD04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F7D8C6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6143D694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Materiały prezentacyjne (prezentacje multimedialne, materiały dydaktyczne)</w:t>
            </w:r>
          </w:p>
          <w:p w14:paraId="028BE3E1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Materiały źródłowe i badawcze (artykuły recenzowane, raporty branżowe, dane z badań marketingowych, studia przypadków)</w:t>
            </w:r>
          </w:p>
          <w:p w14:paraId="4BB1E8BB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audiowizualne i repozytoria kampanii (nagrania reklam, przykłady kampanii, repozytorium kampanii reklamowych)</w:t>
            </w:r>
          </w:p>
          <w:p w14:paraId="033A3E68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Pd4</w:t>
            </w:r>
            <w:r>
              <w:rPr>
                <w:rFonts w:ascii="Times New Roman" w:eastAsia="Times New Roman" w:hAnsi="Times New Roman" w:cs="Times New Roman"/>
              </w:rPr>
              <w:t xml:space="preserve"> Narzędzia do pracy zespołowej i analizy (karty pracy, tablice interaktywne)</w:t>
            </w:r>
          </w:p>
        </w:tc>
      </w:tr>
      <w:tr w:rsidR="00AD049B" w14:paraId="5E470946" w14:textId="77777777">
        <w:trPr>
          <w:trHeight w:val="273"/>
          <w:jc w:val="center"/>
        </w:trPr>
        <w:tc>
          <w:tcPr>
            <w:tcW w:w="10032" w:type="dxa"/>
            <w:gridSpan w:val="12"/>
            <w:shd w:val="clear" w:color="auto" w:fill="DBE5F1"/>
            <w:vAlign w:val="center"/>
          </w:tcPr>
          <w:p w14:paraId="7318589D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080C6338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D049B" w14:paraId="3EF758E9" w14:textId="77777777">
        <w:trPr>
          <w:trHeight w:val="1124"/>
          <w:jc w:val="center"/>
        </w:trPr>
        <w:tc>
          <w:tcPr>
            <w:tcW w:w="10032" w:type="dxa"/>
            <w:gridSpan w:val="12"/>
          </w:tcPr>
          <w:p w14:paraId="663BA987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Warsztaty:</w:t>
            </w:r>
          </w:p>
          <w:p w14:paraId="19E39DDA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aspekty strategii marketingowych. Opracowywanie strategii marketingowej z uwzględnieniem mechanizmów psychologicznych i uwarunkowań decyzyjnych odbiorców.</w:t>
            </w:r>
          </w:p>
          <w:p w14:paraId="4C2B66B2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Reklama: psychologia negocjacji i przekonywania: analiza mechanizmów wpływu społecznego wykorzystywanych w komunikacji marketingowej.</w:t>
            </w:r>
          </w:p>
          <w:p w14:paraId="380FA4D7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w reklamie a zmniejszanie kontrowersji wokół procesu sprzedaży. Przekonywanie oparte na dowodzeniu. Konstruowanie komunikatów perswazyjnych z wykorzystaniem argumentacji i uzasadnień.</w:t>
            </w:r>
          </w:p>
          <w:p w14:paraId="4B338E57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Teorie psychologiczne w działalności reklamowej. Relacja między nadawcą a odbiorcą reklamy. Psychologia nadawcy: cele, intencje i strategie oddziaływania.</w:t>
            </w:r>
          </w:p>
          <w:p w14:paraId="13E88F54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komunikatu reklamowego: struktura przekazu, dobór treści i formy oraz czynniki warunkujące zrozumiałość i skuteczność komunikatu.</w:t>
            </w:r>
          </w:p>
          <w:p w14:paraId="5BCF3652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Świadomość jako cel komunikatu reklamowego: rola uwagi i percepcji w odbiorze przekazu reklamowego.</w:t>
            </w:r>
          </w:p>
          <w:p w14:paraId="3763D975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Tworzenie wizerunku produktu w świadomości odbiorcy: mechanizmy kształtowania reprezentacji marki i produktu oraz ich konsekwencje dla decyzji konsumenckich.</w:t>
            </w:r>
          </w:p>
          <w:p w14:paraId="0C9A260A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Akceptacja przekazu reklamowego: uwarunkowania wiarygodności, zgodności z postawami oraz czynniki sprzyjające przyjęciu komunikatu.</w:t>
            </w:r>
          </w:p>
          <w:p w14:paraId="10B1FA85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komunikatu reklamowego (pogłębienie): analiza elementów perswazyjnych i ich roli w budowaniu skuteczności przekazu.</w:t>
            </w:r>
          </w:p>
          <w:p w14:paraId="16E46C3A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stopnia spełnienia preferencji: identyfikacja i interpretacja preferencji odbiorców oraz ich znaczenie dla dopasowania oferty i komunikacji.</w:t>
            </w:r>
          </w:p>
          <w:p w14:paraId="5418B17B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Satysfakcja: mechanizmy psychologiczne satysfakcji klienta oraz jej znaczenie dla relacji pomiędzy konsumentem marką.</w:t>
            </w:r>
          </w:p>
          <w:p w14:paraId="525D8F4E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Emocje jako najważniejszy składnik przekazu reklamowego: rola emocji w procesach motywacyjnych i decyzyjnych oraz w ocenie reklamy.</w:t>
            </w:r>
          </w:p>
          <w:p w14:paraId="6A4F7215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w tworzeniu reklamy: zastosowanie mechanizmów poznawczych, emocjonalnych i społecznych w projektowaniu przekazów reklamowych.</w:t>
            </w:r>
          </w:p>
          <w:p w14:paraId="04D88C2A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prawa rządzące kolejnością treści w komunikacie reklamowym: wpływ sekwencji informacji na uwagę, zapamiętywanie i ocenę przekazu.</w:t>
            </w:r>
          </w:p>
          <w:p w14:paraId="0285D664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wizualnej części przekazu reklamowego: znaczenie obrazu, kompozycji i elementów wizualnych dla percepcji oraz interpretacji reklamy.</w:t>
            </w:r>
          </w:p>
          <w:p w14:paraId="637E7778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tworzenia fonetycznego przekazu reklamowego: rola cech dźwiękowych (np. brzmienie, rytm, intonacja) w oddziaływaniu reklamy.</w:t>
            </w:r>
          </w:p>
          <w:p w14:paraId="05BA18D5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Technologia tworzenia przekazu reklamowego: dobór rozwiązań i narzędzi wspierających przygotowanie przekazu zgodnie z celami komunikacyjnymi. </w:t>
            </w:r>
          </w:p>
          <w:p w14:paraId="4F574C84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Psychologia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copywritingu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dobór języka i stylu komunikatu, konstruowanie treści perswazyjnych oraz ich dostosowanie do odbiorcy.</w:t>
            </w:r>
          </w:p>
          <w:p w14:paraId="631F3313" w14:textId="77777777" w:rsidR="00AD049B" w:rsidRDefault="00E502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Metody badania efektywności reklamy oraz strategii marketingowej: dobór i interpretacja metod oceny skuteczności działań reklamowych i marketingowych.</w:t>
            </w:r>
          </w:p>
        </w:tc>
      </w:tr>
      <w:tr w:rsidR="00AD049B" w14:paraId="59F4AAFB" w14:textId="77777777">
        <w:trPr>
          <w:trHeight w:val="704"/>
          <w:jc w:val="center"/>
        </w:trPr>
        <w:tc>
          <w:tcPr>
            <w:tcW w:w="10032" w:type="dxa"/>
            <w:gridSpan w:val="12"/>
            <w:vAlign w:val="center"/>
          </w:tcPr>
          <w:p w14:paraId="321AC9E6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48C03B92" w14:textId="77777777" w:rsidR="00AD049B" w:rsidRDefault="00E502A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Doliński, D.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Psychologiczne mechanizmy reklamy</w:t>
            </w:r>
            <w:r>
              <w:rPr>
                <w:rFonts w:ascii="Times New Roman" w:eastAsia="Times New Roman" w:hAnsi="Times New Roman" w:cs="Times New Roman"/>
              </w:rPr>
              <w:t>. Gdańskie Wydawnictwo Psychologiczne.</w:t>
            </w:r>
          </w:p>
          <w:p w14:paraId="11BA20AA" w14:textId="77777777" w:rsidR="00AD049B" w:rsidRDefault="00E502A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Pindakiewicz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J. (Red.). (2000).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Podstawy marketingu</w:t>
            </w:r>
            <w:r>
              <w:rPr>
                <w:rFonts w:ascii="Times New Roman" w:eastAsia="Times New Roman" w:hAnsi="Times New Roman" w:cs="Times New Roman"/>
              </w:rPr>
              <w:t>. Szkoła Główna Handlowa.</w:t>
            </w:r>
          </w:p>
          <w:p w14:paraId="2C83DE52" w14:textId="77777777" w:rsidR="00AD049B" w:rsidRDefault="00E502A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Thomas, M. (Red.). (1999).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Podręcznik marketingu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</w:tc>
      </w:tr>
      <w:tr w:rsidR="00AD049B" w14:paraId="36AB475E" w14:textId="77777777">
        <w:trPr>
          <w:trHeight w:val="2752"/>
          <w:jc w:val="center"/>
        </w:trPr>
        <w:tc>
          <w:tcPr>
            <w:tcW w:w="10032" w:type="dxa"/>
            <w:gridSpan w:val="12"/>
            <w:vAlign w:val="center"/>
          </w:tcPr>
          <w:p w14:paraId="1A504C0F" w14:textId="77777777" w:rsidR="00AD049B" w:rsidRDefault="00E502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15828C01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Garbarski, L., Rutkowski, I.,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Wrzosek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W. (2001).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Marketing: Punkt zwrotny nowoczesnej firmy</w:t>
            </w:r>
            <w:r>
              <w:rPr>
                <w:rFonts w:ascii="Times New Roman" w:eastAsia="Times New Roman" w:hAnsi="Times New Roman" w:cs="Times New Roman"/>
              </w:rPr>
              <w:t>. Polskie Wydawnictwo Ekonomiczne.</w:t>
            </w:r>
          </w:p>
          <w:p w14:paraId="4C41D0D0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P., Armstrong, G.,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Saunders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J., &amp; Wong, V. (2002).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Marketing: Podręcznik europejski</w:t>
            </w:r>
            <w:r>
              <w:rPr>
                <w:rFonts w:ascii="Times New Roman" w:eastAsia="Times New Roman" w:hAnsi="Times New Roman" w:cs="Times New Roman"/>
              </w:rPr>
              <w:t>. Polskie Wydawnictwo Ekonomiczne.</w:t>
            </w:r>
          </w:p>
          <w:p w14:paraId="13F49C39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Kaczmarek, B. (2005).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Misterne gry w komunikację</w:t>
            </w:r>
            <w:r>
              <w:rPr>
                <w:rFonts w:ascii="Times New Roman" w:eastAsia="Times New Roman" w:hAnsi="Times New Roman" w:cs="Times New Roman"/>
              </w:rPr>
              <w:t>. Wydawnictwo UMCS.</w:t>
            </w:r>
          </w:p>
          <w:p w14:paraId="2A19F653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Laszczak, M. (2000).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przekazu reklamowego: Dla twórców i odbiorców komunikatów reklamowych</w:t>
            </w:r>
            <w:r>
              <w:rPr>
                <w:rFonts w:ascii="Times New Roman" w:eastAsia="Times New Roman" w:hAnsi="Times New Roman" w:cs="Times New Roman"/>
              </w:rPr>
              <w:t>. PSB.</w:t>
            </w:r>
          </w:p>
          <w:p w14:paraId="410B89CC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Altkorn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J. (Red.). (2003).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Podstawy marketingu</w:t>
            </w:r>
            <w:r>
              <w:rPr>
                <w:rFonts w:ascii="Times New Roman" w:eastAsia="Times New Roman" w:hAnsi="Times New Roman" w:cs="Times New Roman"/>
              </w:rPr>
              <w:t xml:space="preserve"> (praca zbiorowa). Instytut Marketingu.</w:t>
            </w:r>
          </w:p>
          <w:p w14:paraId="72B22110" w14:textId="77777777" w:rsidR="00AD049B" w:rsidRDefault="00E502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Fennis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B. M.,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Stroebe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W. (2020).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advertising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(3rd ed.).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Routledge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(ISBN 978-0367346393)</w:t>
            </w:r>
          </w:p>
        </w:tc>
      </w:tr>
      <w:tr w:rsidR="00AD049B" w14:paraId="7258F235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3DDB1FF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4B025D1A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F1</w:t>
            </w:r>
            <w:r>
              <w:rPr>
                <w:rFonts w:ascii="Times New Roman" w:eastAsia="Times New Roman" w:hAnsi="Times New Roman" w:cs="Times New Roman"/>
              </w:rPr>
              <w:t>- ocena aktywności na zajęciach</w:t>
            </w:r>
          </w:p>
          <w:p w14:paraId="34BA83A4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</w:rPr>
              <w:t>- prezentacja</w:t>
            </w:r>
          </w:p>
        </w:tc>
      </w:tr>
      <w:tr w:rsidR="00AD049B" w14:paraId="2421A84A" w14:textId="77777777">
        <w:trPr>
          <w:trHeight w:val="285"/>
          <w:jc w:val="center"/>
        </w:trPr>
        <w:tc>
          <w:tcPr>
            <w:tcW w:w="5015" w:type="dxa"/>
            <w:gridSpan w:val="5"/>
            <w:vAlign w:val="center"/>
          </w:tcPr>
          <w:p w14:paraId="5950CDF8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5017" w:type="dxa"/>
            <w:gridSpan w:val="7"/>
            <w:vAlign w:val="center"/>
          </w:tcPr>
          <w:p w14:paraId="0BFA8088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AD049B" w14:paraId="4CDA7326" w14:textId="77777777">
        <w:trPr>
          <w:trHeight w:val="285"/>
          <w:jc w:val="center"/>
        </w:trPr>
        <w:tc>
          <w:tcPr>
            <w:tcW w:w="5015" w:type="dxa"/>
            <w:gridSpan w:val="5"/>
            <w:vAlign w:val="center"/>
          </w:tcPr>
          <w:p w14:paraId="3A41F247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5017" w:type="dxa"/>
            <w:gridSpan w:val="7"/>
            <w:vAlign w:val="center"/>
          </w:tcPr>
          <w:p w14:paraId="0EF86E01" w14:textId="77777777" w:rsidR="00AD049B" w:rsidRDefault="00E502A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Uczestnictwo w co najmniej 80% zajęć jest wymagane, aby uzyskać zaliczenie. Nieobecności mogą być rekompensowane przez dodatkowe prace domowe lub projekty.</w:t>
            </w:r>
          </w:p>
          <w:p w14:paraId="6BA0D887" w14:textId="77777777" w:rsidR="00AD049B" w:rsidRDefault="00E502A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Aktywny udział w zajęciach.</w:t>
            </w:r>
          </w:p>
          <w:p w14:paraId="149FADC7" w14:textId="77777777" w:rsidR="00AD049B" w:rsidRDefault="00E502A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Praca w grupach nad projektem, który obejmuje stworzenie kompleksowej strategii marketingowej dla wybranej firmy lub produktu, uwzględniającej aspekty psychologiczne.</w:t>
            </w:r>
          </w:p>
        </w:tc>
      </w:tr>
      <w:tr w:rsidR="00AD049B" w14:paraId="1E0BE8D0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3805A0F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AD049B" w14:paraId="1BD7D3C7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9EF34A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8C4A4C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AF1DDD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AD049B" w14:paraId="6A346C20" w14:textId="77777777">
        <w:trPr>
          <w:gridAfter w:val="1"/>
          <w:trHeight w:val="416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1E430E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</w:tr>
      <w:tr w:rsidR="00AD049B" w14:paraId="3EA31B9D" w14:textId="77777777">
        <w:trPr>
          <w:gridAfter w:val="1"/>
          <w:trHeight w:val="546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24E488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603E9A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wiedzę z zakresu marketingu, w tym sposobów realizacji celów sprzedażowych firmy oraz rozumie i interpretuje założenia polityki produktowej, cenowej i informacyjnej.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4E63E7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K_W18</w:t>
            </w:r>
          </w:p>
          <w:p w14:paraId="6F5B531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K_W19</w:t>
            </w:r>
          </w:p>
          <w:p w14:paraId="1D9029DF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3D6C239A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673A71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39C3D0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Posiada pogłębioną wiedzę z zakresu psychologii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konsumenckich oraz rozumie i wyjaśnia psychologiczne mechanizmy reklamy i perswazji w kontekście ich wpływu na decyzje odbiorców.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19D65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  <w:p w14:paraId="16405791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K_W10         </w:t>
            </w:r>
          </w:p>
        </w:tc>
      </w:tr>
      <w:tr w:rsidR="00AD049B" w14:paraId="622D07BC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EA12F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A8AE5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Potrafi dobierać, stosować i uzasadniać wykorzystanie instrumentów marketingowych służących budowaniu wizerunku firmy oraz zwiększaniu efektywności działań sprzedażowych, adekwatnie do celów i uwarunkowań rynkowych.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CF791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K_U11</w:t>
            </w:r>
          </w:p>
          <w:p w14:paraId="4165319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</w:tc>
      </w:tr>
      <w:tr w:rsidR="00AD049B" w14:paraId="09CCE601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8E9DDF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4B6767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Podejmując działalność marketingową i reklamową, kieruje się zasadami społecznej odpowiedzialności oraz uwzględnia społeczne i etyczne konsekwencje podejmowanych działań.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CAA9C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K_K10</w:t>
            </w:r>
          </w:p>
          <w:p w14:paraId="72DFABC0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763F9AF4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A07494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A51ECA" w14:textId="77777777" w:rsidR="00AD049B" w:rsidRDefault="00E5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świadomość możliwości wykorzystania wiedzy i umiejętności psychologicznych w działalności biznesowej oraz jest gotów do odpowiedzialnego przenoszenia ich na praktykę, z uwzględnieniem ograniczeń i konsekwencji stosowanych rozwiązań.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9B2118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K_K07</w:t>
            </w:r>
          </w:p>
          <w:p w14:paraId="69517D4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K_K09</w:t>
            </w:r>
          </w:p>
        </w:tc>
      </w:tr>
      <w:tr w:rsidR="00AD049B" w14:paraId="06567681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128692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AD049B" w14:paraId="5E6866DF" w14:textId="77777777">
        <w:trPr>
          <w:gridAfter w:val="1"/>
          <w:trHeight w:val="1638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E0CDFF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EF91FC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64487A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E150FA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9052D9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6B1CF3F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AD049B" w14:paraId="35698B7F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3F61AF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936D43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K_W18</w:t>
            </w:r>
          </w:p>
          <w:p w14:paraId="3AD3726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K_W19</w:t>
            </w:r>
          </w:p>
          <w:p w14:paraId="5CD83201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033BB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17804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A1DE1F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D2FE11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AD049B" w14:paraId="2A89BEAF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195F41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680B78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K_W08</w:t>
            </w:r>
          </w:p>
          <w:p w14:paraId="4F8CBFA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K_W10         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A23BD1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DDB751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CE519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1D5D1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AD049B" w14:paraId="4B7C9FBA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650C4E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5BFD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K_U11</w:t>
            </w:r>
          </w:p>
          <w:p w14:paraId="37EC603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K_U16</w:t>
            </w:r>
          </w:p>
          <w:p w14:paraId="0234C2B1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1DB6D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FC85A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A0ABA3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E5871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AD049B" w14:paraId="4E76B72B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086DA7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63534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K_K10</w:t>
            </w:r>
          </w:p>
          <w:p w14:paraId="227F43DB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5AF9B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2A63B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40C1A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51A01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AD049B" w14:paraId="25A61C19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5DC44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40124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K_K07</w:t>
            </w:r>
          </w:p>
          <w:p w14:paraId="100A7EB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AB360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44695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W1-W19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89C41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354508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AD049B" w14:paraId="7BABD13E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090BCE7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Formy zajęć i punkty ECTS</w:t>
            </w:r>
          </w:p>
        </w:tc>
      </w:tr>
      <w:tr w:rsidR="00AD049B" w14:paraId="573C5698" w14:textId="77777777">
        <w:trPr>
          <w:trHeight w:val="480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98723F3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07ACE7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24F4CA7" w14:textId="77777777" w:rsidR="00AD049B" w:rsidRDefault="00E50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AD049B" w14:paraId="140C3284" w14:textId="77777777">
        <w:trPr>
          <w:trHeight w:val="480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0D2DA56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40EFC44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DF0B38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624924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AD049B" w14:paraId="2CE39844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FAB67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35C14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448B6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A584C8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5CDABB4E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55379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42F30E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7306F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DF62B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D049B" w14:paraId="2520C8A3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507B59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98E146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06E90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26D75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333FA6CC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BDD21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3277BB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2808A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E04EE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36AC0242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EEA066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8C3D0C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0EE6F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BEE033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14CF8CBC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DF7005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D96C0C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12E87E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6E0557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4C35A005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56CFA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682A55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2CC670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C57C1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592EC2A1" w14:textId="77777777">
        <w:trPr>
          <w:trHeight w:val="567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48C5C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D8DEC1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E65C1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66DCB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D049B" w14:paraId="7F728A9C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ED8C60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2F42AD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1DADCE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A1923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D049B" w14:paraId="006ED30B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3C8BF0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D16D65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5EBB84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4CB2AA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AD049B" w14:paraId="4287EE10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A2F1B6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1FAD1C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40CFE1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73DA3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049B" w14:paraId="2770D13B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C4B37A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263D17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02793E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F209D9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7D3D89B8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17809A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AD6850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87B32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EFF2AC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5BC040BD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D964DC" w14:textId="77777777" w:rsidR="00AD049B" w:rsidRDefault="00AD0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FF2010" w14:textId="77777777" w:rsidR="00AD049B" w:rsidRDefault="00E502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7E0558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9FBA71" w14:textId="77777777" w:rsidR="00AD049B" w:rsidRDefault="00A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D049B" w14:paraId="122AA310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9807BA2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13E20C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D3CB4B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50 </w:t>
            </w:r>
          </w:p>
        </w:tc>
      </w:tr>
      <w:tr w:rsidR="00AD049B" w14:paraId="61D7B83E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8BE53BE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9F499D" w14:textId="77777777" w:rsidR="00AD049B" w:rsidRDefault="00E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</w:tbl>
    <w:p w14:paraId="2BC402CF" w14:textId="77777777" w:rsidR="00AD049B" w:rsidRDefault="00AD04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AD049B">
      <w:footerReference w:type="default" r:id="rId9"/>
      <w:pgSz w:w="11906" w:h="16838"/>
      <w:pgMar w:top="851" w:right="1417" w:bottom="851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FAEA" w14:textId="77777777" w:rsidR="00E502AF" w:rsidRDefault="00E502AF">
      <w:pPr>
        <w:spacing w:after="0" w:line="240" w:lineRule="auto"/>
      </w:pPr>
      <w:r>
        <w:separator/>
      </w:r>
    </w:p>
  </w:endnote>
  <w:endnote w:type="continuationSeparator" w:id="0">
    <w:p w14:paraId="7A5E89BA" w14:textId="77777777" w:rsidR="00E502AF" w:rsidRDefault="00E5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3C4915A-A37C-4F4E-B0DE-B7BF2AA1955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6555A1D-0E97-4DC9-B9B5-5D94699A463C}"/>
    <w:embedBold r:id="rId3" w:fontKey="{4C62FB8B-16E6-4B5B-AA36-5F9563E7D976}"/>
    <w:embedItalic r:id="rId4" w:fontKey="{D415FE90-74C1-4B00-9174-D750629A32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16B0E377-7311-4A46-96A6-E454FBCB5C1D}"/>
    <w:embedBold r:id="rId6" w:fontKey="{D95FF750-C1BB-4E4A-B315-AE0B25E29C3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ED55FCE2-27DC-49A1-915A-4CCFE3D37EF7}"/>
    <w:embedBold r:id="rId8" w:fontKey="{1B2B3475-D430-4F81-8CB3-F5B0AD3B4CE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3E3BA52C-3880-4F56-8341-33ACCDEA8F8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42E9A991-35F5-45E8-9A35-3EB60ED49B3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CF3B2611-48CE-41CB-BDDB-EDB07406EE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10AA" w14:textId="77777777" w:rsidR="00AD049B" w:rsidRDefault="00E502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6D238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2A51FC6" w14:textId="77777777" w:rsidR="00AD049B" w:rsidRDefault="00AD04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3820" w14:textId="77777777" w:rsidR="00E502AF" w:rsidRDefault="00E502AF">
      <w:pPr>
        <w:spacing w:after="0" w:line="240" w:lineRule="auto"/>
      </w:pPr>
      <w:r>
        <w:separator/>
      </w:r>
    </w:p>
  </w:footnote>
  <w:footnote w:type="continuationSeparator" w:id="0">
    <w:p w14:paraId="74989533" w14:textId="77777777" w:rsidR="00E502AF" w:rsidRDefault="00E50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B1EC9"/>
    <w:multiLevelType w:val="multilevel"/>
    <w:tmpl w:val="5CFA3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pStyle w:val="CMSHeadL7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E54B6"/>
    <w:multiLevelType w:val="multilevel"/>
    <w:tmpl w:val="1A688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57B8"/>
    <w:multiLevelType w:val="multilevel"/>
    <w:tmpl w:val="E36C411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D1246"/>
    <w:multiLevelType w:val="multilevel"/>
    <w:tmpl w:val="7E3A0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93144215">
    <w:abstractNumId w:val="1"/>
  </w:num>
  <w:num w:numId="2" w16cid:durableId="665012115">
    <w:abstractNumId w:val="0"/>
  </w:num>
  <w:num w:numId="3" w16cid:durableId="1272132994">
    <w:abstractNumId w:val="2"/>
  </w:num>
  <w:num w:numId="4" w16cid:durableId="2053073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49B"/>
    <w:rsid w:val="00432FBF"/>
    <w:rsid w:val="006D238E"/>
    <w:rsid w:val="00AD049B"/>
    <w:rsid w:val="00E5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C587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Nagwek8">
    <w:name w:val="heading 8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1Znak">
    <w:name w:val="Nagłówek 1 Znak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rsid w:val="009D490C"/>
    <w:rPr>
      <w:vertAlign w:val="superscript"/>
    </w:rPr>
  </w:style>
  <w:style w:type="paragraph" w:styleId="Tekstprzypisukocowego">
    <w:name w:val="endnote text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rsid w:val="009D490C"/>
    <w:rPr>
      <w:color w:val="0000FF"/>
      <w:u w:val="single"/>
    </w:rPr>
  </w:style>
  <w:style w:type="paragraph" w:customStyle="1" w:styleId="Tytuowa1">
    <w:name w:val="Tytułowa 1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rsid w:val="009D490C"/>
    <w:rPr>
      <w:sz w:val="16"/>
      <w:szCs w:val="16"/>
    </w:rPr>
  </w:style>
  <w:style w:type="paragraph" w:customStyle="1" w:styleId="xl151">
    <w:name w:val="xl151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 w:eastAsia="x-none"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sid w:val="003517EB"/>
  </w:style>
  <w:style w:type="character" w:customStyle="1" w:styleId="h1">
    <w:name w:val="h1"/>
    <w:rsid w:val="00475B2F"/>
  </w:style>
  <w:style w:type="paragraph" w:customStyle="1" w:styleId="Akapitbezwcicia">
    <w:name w:val="Akapit bez wcięcia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sid w:val="00D80617"/>
  </w:style>
  <w:style w:type="character" w:styleId="Uwydatnienie">
    <w:name w:val="Emphasis"/>
    <w:uiPriority w:val="20"/>
    <w:qFormat/>
    <w:rsid w:val="00D80617"/>
    <w:rPr>
      <w:i/>
      <w:iCs/>
    </w:rPr>
  </w:style>
  <w:style w:type="character" w:customStyle="1" w:styleId="desc-o-b-rest">
    <w:name w:val="desc-o-b-rest"/>
    <w:rsid w:val="00D80617"/>
  </w:style>
  <w:style w:type="character" w:customStyle="1" w:styleId="desc-o-publ">
    <w:name w:val="desc-o-publ"/>
    <w:rsid w:val="00D80617"/>
  </w:style>
  <w:style w:type="paragraph" w:customStyle="1" w:styleId="Akapitzlist1">
    <w:name w:val="Akapit z listą1"/>
    <w:rsid w:val="00A64BA4"/>
    <w:pPr>
      <w:ind w:left="720"/>
      <w:contextualSpacing/>
    </w:pPr>
    <w:rPr>
      <w:rFonts w:eastAsia="Times New Roman"/>
    </w:rPr>
  </w:style>
  <w:style w:type="character" w:customStyle="1" w:styleId="Bodytext2">
    <w:name w:val="Body text (2)_"/>
    <w:link w:val="Bodytext20"/>
    <w:rsid w:val="00126D0C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sid w:val="00126D0C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 (2)"/>
    <w:link w:val="Bodytext2"/>
    <w:rsid w:val="00126D0C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 w:eastAsia="x-none"/>
    </w:rPr>
  </w:style>
  <w:style w:type="paragraph" w:customStyle="1" w:styleId="Bezodstpw1">
    <w:name w:val="Bez odstępów1"/>
    <w:rsid w:val="00126D0C"/>
    <w:pPr>
      <w:suppressAutoHyphens/>
    </w:pPr>
    <w:rPr>
      <w:lang w:eastAsia="ar-SA"/>
    </w:rPr>
  </w:style>
  <w:style w:type="character" w:customStyle="1" w:styleId="name">
    <w:name w:val="name"/>
    <w:basedOn w:val="Domylnaczcionkaakapitu"/>
    <w:rsid w:val="007106F9"/>
  </w:style>
  <w:style w:type="character" w:customStyle="1" w:styleId="Bodytext2Bold">
    <w:name w:val="Body text (2) + Bold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Bodytext2BoldSpacing3pt">
    <w:name w:val="Body text (2) + Bold;Spacing 3 pt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customStyle="1" w:styleId="Tekstpodstawowy21">
    <w:name w:val="Tekst podstawowy 21"/>
    <w:rsid w:val="005F44AD"/>
    <w:pPr>
      <w:suppressAutoHyphens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link w:val="BezodstpwZnak"/>
    <w:uiPriority w:val="1"/>
    <w:qFormat/>
    <w:rsid w:val="005F44AD"/>
    <w:rPr>
      <w:lang w:eastAsia="en-US"/>
    </w:rPr>
  </w:style>
  <w:style w:type="character" w:customStyle="1" w:styleId="BezodstpwZnak">
    <w:name w:val="Bez odstępów Znak"/>
    <w:link w:val="Bezodstpw"/>
    <w:uiPriority w:val="1"/>
    <w:locked/>
    <w:rsid w:val="005F44AD"/>
    <w:rPr>
      <w:sz w:val="22"/>
      <w:szCs w:val="22"/>
      <w:lang w:eastAsia="en-US" w:bidi="ar-SA"/>
    </w:rPr>
  </w:style>
  <w:style w:type="paragraph" w:customStyle="1" w:styleId="DefinitionTerm">
    <w:name w:val="Definition Term"/>
    <w:rsid w:val="00E37BFD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</w:rPr>
  </w:style>
  <w:style w:type="paragraph" w:styleId="Podtytu">
    <w:name w:val="Subtitle"/>
    <w:basedOn w:val="Normalny"/>
    <w:next w:val="Normalny"/>
    <w:uiPriority w:val="11"/>
    <w:qFormat/>
    <w:pPr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Ifsz84gqxu6j6ghw+AC9O12xRw==">CgMxLjA4AHIhMTE5UXotUWFNUTVUQ3hpbEF5OWN0S1R1UVA3b0ZmNXhY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2</cp:revision>
  <dcterms:created xsi:type="dcterms:W3CDTF">2026-03-11T20:56:00Z</dcterms:created>
  <dcterms:modified xsi:type="dcterms:W3CDTF">2026-03-11T20:56:00Z</dcterms:modified>
</cp:coreProperties>
</file>