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89A94" w14:textId="77777777" w:rsidR="00581371" w:rsidRDefault="00000000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A8EFC86" wp14:editId="5A7A890E">
            <wp:simplePos x="0" y="0"/>
            <wp:positionH relativeFrom="column">
              <wp:posOffset>-267418</wp:posOffset>
            </wp:positionH>
            <wp:positionV relativeFrom="paragraph">
              <wp:posOffset>164128</wp:posOffset>
            </wp:positionV>
            <wp:extent cx="2600325" cy="811530"/>
            <wp:effectExtent l="0" t="0" r="0" b="0"/>
            <wp:wrapTopAndBottom distT="0" dist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3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1478"/>
        <w:gridCol w:w="1777"/>
        <w:gridCol w:w="105"/>
        <w:gridCol w:w="1345"/>
        <w:gridCol w:w="299"/>
        <w:gridCol w:w="1733"/>
        <w:gridCol w:w="344"/>
        <w:gridCol w:w="478"/>
        <w:gridCol w:w="971"/>
        <w:gridCol w:w="105"/>
        <w:gridCol w:w="1419"/>
        <w:gridCol w:w="105"/>
      </w:tblGrid>
      <w:tr w:rsidR="00581371" w14:paraId="1D019982" w14:textId="77777777">
        <w:trPr>
          <w:trHeight w:val="519"/>
          <w:jc w:val="center"/>
        </w:trPr>
        <w:tc>
          <w:tcPr>
            <w:tcW w:w="195" w:type="dxa"/>
          </w:tcPr>
          <w:p w14:paraId="070EF21E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0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36B0DE9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Nazwa kierunku kształcenia: PSYCHOLOGIA</w:t>
            </w:r>
          </w:p>
        </w:tc>
      </w:tr>
      <w:tr w:rsidR="00581371" w14:paraId="1FEEBADC" w14:textId="77777777">
        <w:trPr>
          <w:trHeight w:val="567"/>
          <w:jc w:val="center"/>
        </w:trPr>
        <w:tc>
          <w:tcPr>
            <w:tcW w:w="195" w:type="dxa"/>
          </w:tcPr>
          <w:p w14:paraId="616ADF59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00" w:type="dxa"/>
            <w:gridSpan w:val="12"/>
            <w:shd w:val="clear" w:color="auto" w:fill="FFFFFF"/>
            <w:vAlign w:val="center"/>
          </w:tcPr>
          <w:p w14:paraId="5C075257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Dziedzina nauk społecznych; dyscyplina: Psychologia</w:t>
            </w:r>
          </w:p>
        </w:tc>
      </w:tr>
      <w:tr w:rsidR="00581371" w14:paraId="73AF5DD1" w14:textId="77777777">
        <w:trPr>
          <w:trHeight w:val="567"/>
          <w:jc w:val="center"/>
        </w:trPr>
        <w:tc>
          <w:tcPr>
            <w:tcW w:w="195" w:type="dxa"/>
          </w:tcPr>
          <w:p w14:paraId="248348F0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70" w:type="dxa"/>
            <w:gridSpan w:val="2"/>
            <w:vAlign w:val="center"/>
          </w:tcPr>
          <w:p w14:paraId="5B91EFCF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Forma zajęć:</w:t>
            </w:r>
          </w:p>
        </w:tc>
        <w:tc>
          <w:tcPr>
            <w:tcW w:w="6930" w:type="dxa"/>
            <w:gridSpan w:val="10"/>
            <w:vAlign w:val="center"/>
          </w:tcPr>
          <w:p w14:paraId="08A9C320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581371" w14:paraId="17035EDE" w14:textId="77777777">
        <w:trPr>
          <w:trHeight w:val="567"/>
          <w:jc w:val="center"/>
        </w:trPr>
        <w:tc>
          <w:tcPr>
            <w:tcW w:w="195" w:type="dxa"/>
          </w:tcPr>
          <w:p w14:paraId="29AF07CC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3ACAF41A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Poziom studiów: studia jednolite magisterskie (7 PRK)</w:t>
            </w:r>
          </w:p>
        </w:tc>
      </w:tr>
      <w:tr w:rsidR="00581371" w14:paraId="6D63B836" w14:textId="77777777">
        <w:trPr>
          <w:trHeight w:val="567"/>
          <w:jc w:val="center"/>
        </w:trPr>
        <w:tc>
          <w:tcPr>
            <w:tcW w:w="195" w:type="dxa"/>
          </w:tcPr>
          <w:p w14:paraId="775B20D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7E06FEA3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Profil kształcenia: Praktyczny</w:t>
            </w:r>
          </w:p>
        </w:tc>
      </w:tr>
      <w:tr w:rsidR="00581371" w14:paraId="509267C3" w14:textId="77777777">
        <w:trPr>
          <w:trHeight w:val="567"/>
          <w:jc w:val="center"/>
        </w:trPr>
        <w:tc>
          <w:tcPr>
            <w:tcW w:w="195" w:type="dxa"/>
          </w:tcPr>
          <w:p w14:paraId="259ED958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00" w:type="dxa"/>
            <w:gridSpan w:val="12"/>
            <w:tcBorders>
              <w:bottom w:val="single" w:sz="4" w:space="0" w:color="000000"/>
            </w:tcBorders>
            <w:vAlign w:val="center"/>
          </w:tcPr>
          <w:p w14:paraId="5A04C3D5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Nazwa podstawowej jednostki organizacyjnej uczelni prowadzącej kierunek: </w:t>
            </w:r>
          </w:p>
          <w:p w14:paraId="03D9AB6F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 w:rsidR="00581371" w14:paraId="77622852" w14:textId="77777777">
        <w:trPr>
          <w:trHeight w:val="567"/>
          <w:jc w:val="center"/>
        </w:trPr>
        <w:tc>
          <w:tcPr>
            <w:tcW w:w="195" w:type="dxa"/>
          </w:tcPr>
          <w:p w14:paraId="1BA384A6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0" w:type="dxa"/>
            <w:gridSpan w:val="1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6B24A1DA" w14:textId="77777777" w:rsidR="00581371" w:rsidRDefault="00000000">
            <w:pPr>
              <w:pStyle w:val="Nagwek2"/>
              <w:keepLines w:val="0"/>
              <w:tabs>
                <w:tab w:val="left" w:pos="180"/>
              </w:tabs>
              <w:spacing w:before="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Nazwa przedmiotu kształcenia: PSYCHOLOGIA OGÓLNA – RÓŻNICE INDYWIDUALNE</w:t>
            </w:r>
          </w:p>
        </w:tc>
      </w:tr>
      <w:tr w:rsidR="00581371" w14:paraId="26E7F7A2" w14:textId="77777777">
        <w:trPr>
          <w:trHeight w:val="2453"/>
          <w:jc w:val="center"/>
        </w:trPr>
        <w:tc>
          <w:tcPr>
            <w:tcW w:w="195" w:type="dxa"/>
          </w:tcPr>
          <w:p w14:paraId="0BB1C30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3D92E8E3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47FD190B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53B686E6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kluczowych problemów, pojęć i teorii psychologii różnic indywidualnych (w tym wkładu polskich badaczy) oraz ich znaczenia dla wyjaśniania zróżnicowania funkcjonowania człowieka.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1C61FF79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współczesnych koncepcji temperamentu, cech osobowości, inteligencji i stylów poznawczych – z oceną ich mocy wyjaśniającej, ograniczeń oraz konsekwencji dla badań i praktyki.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692773B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Interpretowanie biologicznych i środowiskowych uwarunkowań różnic indywidualnych (w tym podstaw genetyki zachowania) oraz samodzielne wnioskowanie na podstawie danych empirycznych.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6BF50E10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Wykształcenie umiejętności integrowania wiedzy z różnych dziedzin psychologii, m. in. psychologii osobowości, procesów poznawczych, biologicznych podstaw zachowania.</w:t>
            </w:r>
          </w:p>
          <w:p w14:paraId="332970ED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57DE0A57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operacjonalizacji cech i konstrukcji psychologicznych oraz doboru strategii badawczych w psychologii różnic indywidualnych – z uzasadnieniem metodologicznym.</w:t>
            </w:r>
          </w:p>
          <w:p w14:paraId="7C3F8810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krytycznej interpretacji wyników pomiaru różnic indywidualnych (np. temperament, osobowość, style poznawcze, inteligencja) z uwzględnieniem trafności, rzetelności i ograniczeń wnioskowania.</w:t>
            </w:r>
          </w:p>
          <w:p w14:paraId="2C53D390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Integracja wiedzy z psychologii osobowości, procesów poznawczych i biologicznych podstaw zachowania w analizie przypadków i problemów praktycznych (np. zdrowie, stres, funkcjonowanie w zadaniach).</w:t>
            </w:r>
          </w:p>
        </w:tc>
      </w:tr>
      <w:tr w:rsidR="00581371" w14:paraId="7124CD27" w14:textId="77777777">
        <w:trPr>
          <w:trHeight w:val="567"/>
          <w:jc w:val="center"/>
        </w:trPr>
        <w:tc>
          <w:tcPr>
            <w:tcW w:w="195" w:type="dxa"/>
          </w:tcPr>
          <w:p w14:paraId="2C13BDCC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0C64FA94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Wprowadzenie do psychologii, Historia myśli psychologicznej</w:t>
            </w:r>
          </w:p>
          <w:p w14:paraId="18EDAD79" w14:textId="77777777" w:rsidR="00581371" w:rsidRDefault="005813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81371" w14:paraId="75E0CEE6" w14:textId="77777777">
        <w:trPr>
          <w:trHeight w:val="567"/>
          <w:jc w:val="center"/>
        </w:trPr>
        <w:tc>
          <w:tcPr>
            <w:tcW w:w="195" w:type="dxa"/>
          </w:tcPr>
          <w:p w14:paraId="2BDF34F9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2D000C33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ma wiedzę z zakresu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Wprowadzenia do psychologii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Historii myśli psychologicznej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rozumie podstawową terminologię psychologiczną</w:t>
            </w:r>
          </w:p>
        </w:tc>
      </w:tr>
      <w:tr w:rsidR="00581371" w14:paraId="11CD02CB" w14:textId="77777777">
        <w:trPr>
          <w:trHeight w:val="567"/>
          <w:jc w:val="center"/>
        </w:trPr>
        <w:tc>
          <w:tcPr>
            <w:tcW w:w="195" w:type="dxa"/>
          </w:tcPr>
          <w:p w14:paraId="4C6E4D9B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3EA41D7B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390BE049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 problemowy (prezentacje multimedialne, schematy/infografiki, krótkie materiały wideo/fragmenty wykładów)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dydaktyczna moderowana (studia przypadków, artykuły naukowe, pytania problemowe do analizy)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(monografie, artykuły recenzowane, bazy danych/zasoby biblioteczne online)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Konsultacje (materiały udostępniane przez prowadzącego, checklisty kryteriów do projektu/prezentacji)</w:t>
            </w:r>
          </w:p>
          <w:p w14:paraId="17A819E1" w14:textId="77777777" w:rsidR="00581371" w:rsidRDefault="00581371">
            <w:pPr>
              <w:spacing w:after="0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26F5798C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Pomoce dydaktyczne</w:t>
            </w:r>
          </w:p>
          <w:p w14:paraId="3244BB2A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i materiały wizualne (slajdy, infografiki, schematy modeli i teorii różnic indywidualnych)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Zestaw studiów przypadków i kart pracy do ćwiczeń (opisy przypadków, pytania do interpretacji, arkusze do wnioskowania)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Artykuły naukowe/monografie (druk i/lub dostęp cyfrowy) + baza tekstów do krytycznej analizy (artykuły recenzowane, rozdziały z podręczników, fragmenty narzędzi pomiarowych do analizy trafności/rzetelności)</w:t>
            </w:r>
          </w:p>
        </w:tc>
      </w:tr>
      <w:tr w:rsidR="00581371" w14:paraId="18557B60" w14:textId="77777777">
        <w:trPr>
          <w:trHeight w:val="273"/>
          <w:jc w:val="center"/>
        </w:trPr>
        <w:tc>
          <w:tcPr>
            <w:tcW w:w="195" w:type="dxa"/>
          </w:tcPr>
          <w:p w14:paraId="00F0D2A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0" w:type="dxa"/>
            <w:gridSpan w:val="12"/>
            <w:shd w:val="clear" w:color="auto" w:fill="DBE5F1"/>
            <w:vAlign w:val="center"/>
          </w:tcPr>
          <w:p w14:paraId="31CD3CC3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29A0C941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81371" w14:paraId="7DE8029E" w14:textId="77777777">
        <w:trPr>
          <w:trHeight w:val="2402"/>
          <w:jc w:val="center"/>
        </w:trPr>
        <w:tc>
          <w:tcPr>
            <w:tcW w:w="195" w:type="dxa"/>
          </w:tcPr>
          <w:p w14:paraId="226AC8E9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00" w:type="dxa"/>
            <w:gridSpan w:val="12"/>
          </w:tcPr>
          <w:p w14:paraId="75AA6939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</w:t>
            </w:r>
          </w:p>
          <w:p w14:paraId="25939859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Zakres i problemy badawcze psychologii różnic indywidualnych: stałość i zmienność w funkcjonowaniu człowieka; pojęcia cechy i dyspozycji; perspektywy wyjaśniania zachowania (dyspozycjonizm, sytuacjonizm, interakcjonizm) i ich konsekwencje dla badań.</w:t>
            </w:r>
          </w:p>
          <w:p w14:paraId="2A48481A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Kluczowe kontrowersje i pytania badawcze: natura–kultura; przewidywalność zachowań; relacje między temperamentem, inteligencją i stylami poznawczymi – analiza założeń oraz ograniczeń interpretacyjnych.</w:t>
            </w:r>
          </w:p>
          <w:p w14:paraId="3202E902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Pojęcie cechy: status logiczny i ontologiczny; stałość vs zmienność; uniwersalność międzykulturowa; strategie wyodrębniania cech; krytyka i obrona pojęcia cechy w świetle danych empirycznych.</w:t>
            </w:r>
          </w:p>
          <w:p w14:paraId="34B1CA38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Uwarunkowania biologiczne i społeczne cech: podstawy genetyki zachowania; wariancja fenotypowa i genotypowa; interpretacja danych empirycznych dotyczących źródeł różnic indywidualnych (z uwzględnieniem ograniczeń wnioskowania).</w:t>
            </w:r>
          </w:p>
          <w:p w14:paraId="23A78DAD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Koncepcje cech – analiza porównawcza: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– Allport (typologia cech, autonomia funkcjonalna; znaczenie i krytyka)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– Cattell (wyodrębnianie cech, struktura; ograniczenia podejścia)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– Eysenck (źródła i struktura cech; znaczenie teorii i krytyczna ocena)</w:t>
            </w:r>
          </w:p>
          <w:p w14:paraId="6DF2FCB0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Regulacyjna Teoria Temperamentu (RTT): inspiracje teoretyczne; rozumienie temperamentu; mechanizmy psychologiczne i fizjologiczne w ujęciu RTT.</w:t>
            </w:r>
          </w:p>
          <w:p w14:paraId="1DD4D9C9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RTT – zastosowania i weryfikacja empiryczna: temperament a działanie, osobowość i radzenie sobie ze stresem; pomiar cech temperamentu; krytyczna ocena teorii w świetle badań.</w:t>
            </w:r>
          </w:p>
          <w:p w14:paraId="09B3B297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Temperament – ujęcia amerykańskie (Thomas i Chess; Buss i Plomin; Rothbart): założenia, podobieństwa i różnice, status empiryczny i krytyczna ocena ujęć.</w:t>
            </w:r>
          </w:p>
          <w:p w14:paraId="4DD6F1AB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Współczesne koncepcje temperamentu: Gray (reinterpretacja podejścia Eysencka), Zuckerman, Rusałov – analiza mechanizmów, funkcji regulacyjnych, pomiaru i ograniczeń interpretacyjnych.</w:t>
            </w:r>
          </w:p>
          <w:p w14:paraId="4A020A68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Inteligencja – modele strukturalne i hierarchiczne: koncepcje czynników hierarchicznych i równorzędnych; konsekwencje modeli dla diagnozy i interpretacji wyników.</w:t>
            </w:r>
          </w:p>
          <w:p w14:paraId="4B561717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Poznawcze ujęcia inteligencji: koncepcja Sternberga i jej znaczenie; analiza zastosowań oraz ograniczeń we współczesnej psychologii.</w:t>
            </w:r>
          </w:p>
          <w:p w14:paraId="40C0A8FE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Różnice indywidualne a zdrowie: typy relacji DI–zdrowie; wzór zachowania A i temperament; optymizm, odporność (resilience) – interpretacja wyników badań i wnioskowanie o mechanizmach.</w:t>
            </w:r>
          </w:p>
          <w:p w14:paraId="3A1FF7BC" w14:textId="77777777" w:rsidR="005813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Style poznawcze: kluczowe wymiary (zależność–niezależność od pola, abstrakcyjność–konkretność, refleksyjność–impulsywność, szerokość kategoryzacji); ocena użyteczności koncepcji i krytyczna interpretacja.</w:t>
            </w:r>
          </w:p>
          <w:p w14:paraId="776FAA81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11ED1472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Źródła różnic indywidualnych: analiza problemu „geny czy środowisko”; pojęcia typu, cechy i wymiaru; konsekwencje dla interpretacji wyników badań.</w:t>
            </w:r>
          </w:p>
          <w:p w14:paraId="4F361D60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Metodologia badań różnic indywidualnych: strategie badawcze, dobór zmiennych i narzędzi; krytyczna ocena jakości pomiaru (trafność, rzetelność, ograniczenia).</w:t>
            </w:r>
          </w:p>
          <w:p w14:paraId="6A11BC0C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Temperament – ujęcia klasyczne i relacje z cechami osobowości: porównanie koncepcji i wnioskowanie o ich konsekwencjach teoretycznych.</w:t>
            </w:r>
          </w:p>
          <w:p w14:paraId="4567FFD6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Współczesne koncepcje temperamentu dzieci: funkcjonalne znaczenie temperamentu; analiza czynników ryzyka i ochronnych w rozwoju.</w:t>
            </w:r>
          </w:p>
          <w:p w14:paraId="41CE88A9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Temperament dorosłych i RTT: teoria czynności Tomaszewskiego i RTT; diagnoza temperamentu (FCZ-KT) – interpretacja wyników i ograniczeń.</w:t>
            </w:r>
          </w:p>
          <w:p w14:paraId="2B5DA605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Transakcyjny model temperamentu i aktualne badania: analiza kierunków badań i wnioskowanie o mechanizmach rozwoju temperamentu.</w:t>
            </w:r>
          </w:p>
          <w:p w14:paraId="42B6D380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Temperament a osobowość: czynnikowe teorie temperamentu; interpretacja wyników NEO-FFI w kontekście problemu diagnostycznego/badawczego.</w:t>
            </w:r>
          </w:p>
          <w:p w14:paraId="7ADCAC7D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Temperament a działanie i sytuacje trudne: związki temperamentu ze strukturą i organizacją działania; analiza zachowania w stresie – studia przypadków i wnioskowanie.</w:t>
            </w:r>
          </w:p>
          <w:p w14:paraId="7ED23330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Inteligencja: definicje, pomiar i diagnoza: krytyczna analiza narzędzi i konsekwencji interpretacyjnych; granice wnioskowania.</w:t>
            </w:r>
          </w:p>
          <w:p w14:paraId="6102BB56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Współczesne spory i konteksty rozumienia inteligencji: koncepcja Nęcki; krytyczna analiza wątków jansenizmu i eugeniki; AI a inteligencja; rozwój inteligencji – argumentacja oparta na danych.</w:t>
            </w:r>
          </w:p>
          <w:p w14:paraId="40D9B8AB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Style poznawcze: zależności stylów poznawczych z temperamentem; dobór i interpretacja metod diagnozy; ograniczenia i ryzyka uproszczeń.</w:t>
            </w:r>
          </w:p>
          <w:p w14:paraId="7B8E5D92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Złożoność poznawcza i perspektywa temporalna: diagnoza złożoności poznawczej; psychologia temporalna; diagnoza typów umysłu – interpretacja wyników.</w:t>
            </w:r>
          </w:p>
          <w:p w14:paraId="1FA8A7FF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Uzdolnienia i zdolności w psychologii różnic indywidualnych: uzdolnienia plastyczne – pomiar, interpretacja i zastosowania; krytyczna ocena ograniczeń pomiaru.</w:t>
            </w:r>
          </w:p>
          <w:p w14:paraId="2441A227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Płeć psychiczna: koncepcja S. Bem, androgeniczność; pomiar i interpretacja płci psychicznej; konsekwencje społeczne i metodologiczne.</w:t>
            </w:r>
          </w:p>
          <w:p w14:paraId="04F674B5" w14:textId="77777777" w:rsidR="00581371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Podsumowanie i zastosowania praktyczne: integracja treści kursu; analiza implikacji w diagnozie i pracy psychologicznej; refleksja nad odpowiedzialnym wykorzystaniem pomiaru.</w:t>
            </w:r>
          </w:p>
        </w:tc>
      </w:tr>
      <w:tr w:rsidR="00581371" w14:paraId="1FB63770" w14:textId="77777777">
        <w:trPr>
          <w:trHeight w:val="704"/>
          <w:jc w:val="center"/>
        </w:trPr>
        <w:tc>
          <w:tcPr>
            <w:tcW w:w="195" w:type="dxa"/>
          </w:tcPr>
          <w:p w14:paraId="48B95073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085018BC" w14:textId="77777777" w:rsidR="00581371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03D18651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Strelau J. (2014).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Różnice indywidualna. Historia-determinanty-zastosowania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 xml:space="preserve">str.14-.380) Warszawa: Wydawnictwo Naukowe Scholar. </w:t>
            </w:r>
          </w:p>
          <w:p w14:paraId="181A96BD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Seligman D. (1995). O inteligencji prawie wszystko (str. 49-202). Warszawa: Wydawnictwo Naukowe PWN.</w:t>
            </w:r>
          </w:p>
          <w:p w14:paraId="4F1584CF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Strelau J., Zawadzki B. (2018).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różnic indywidualnych</w:t>
            </w:r>
            <w:r>
              <w:rPr>
                <w:rFonts w:ascii="Times New Roman" w:eastAsia="Times New Roman" w:hAnsi="Times New Roman" w:cs="Times New Roman"/>
              </w:rPr>
              <w:t>. [w]: J. Strelau, D. Doliński (red.), Psychologia. Podręcznik akademicki (str. 765-845). Gdańsk: Gdańskie Wydawnictwo Psychologiczne (tom 1).</w:t>
            </w:r>
          </w:p>
          <w:p w14:paraId="0794E33A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Strelau, J. 2001).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temperamentu</w:t>
            </w:r>
            <w:r>
              <w:rPr>
                <w:rFonts w:ascii="Times New Roman" w:eastAsia="Times New Roman" w:hAnsi="Times New Roman" w:cs="Times New Roman"/>
              </w:rPr>
              <w:t xml:space="preserve"> (str. 83-422) Warszawa: PWN.</w:t>
            </w:r>
          </w:p>
          <w:p w14:paraId="75DDDC5E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Popek, S.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twórczości plastycznej</w:t>
            </w:r>
            <w:r>
              <w:rPr>
                <w:rFonts w:ascii="Times New Roman" w:eastAsia="Times New Roman" w:hAnsi="Times New Roman" w:cs="Times New Roman"/>
              </w:rPr>
              <w:t>. (str. 10-460). Kraków: Impuls.</w:t>
            </w:r>
          </w:p>
          <w:p w14:paraId="5B5BFA1B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Matczak A. (1994).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Diagnoza intelektu</w:t>
            </w:r>
            <w:r>
              <w:rPr>
                <w:rFonts w:ascii="Times New Roman" w:eastAsia="Times New Roman" w:hAnsi="Times New Roman" w:cs="Times New Roman"/>
              </w:rPr>
              <w:t>. (str. 10-210). Warszawa: PWN.</w:t>
            </w:r>
          </w:p>
          <w:p w14:paraId="7296D6AA" w14:textId="77777777" w:rsidR="00581371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Mandal E. (2003).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Kobiecość i męskość</w:t>
            </w:r>
            <w:r>
              <w:rPr>
                <w:rFonts w:ascii="Times New Roman" w:eastAsia="Times New Roman" w:hAnsi="Times New Roman" w:cs="Times New Roman"/>
              </w:rPr>
              <w:t xml:space="preserve"> (str. 13-150). Warszawa: Żak.</w:t>
            </w:r>
          </w:p>
        </w:tc>
      </w:tr>
      <w:tr w:rsidR="00581371" w14:paraId="06612079" w14:textId="77777777">
        <w:trPr>
          <w:trHeight w:val="567"/>
          <w:jc w:val="center"/>
        </w:trPr>
        <w:tc>
          <w:tcPr>
            <w:tcW w:w="195" w:type="dxa"/>
          </w:tcPr>
          <w:p w14:paraId="2C798AF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4DD435C9" w14:textId="77777777" w:rsidR="00581371" w:rsidRDefault="0000000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612051FC" w14:textId="77777777" w:rsidR="00581371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Matczak A. (1982).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Style poznawcze</w:t>
            </w:r>
            <w:r>
              <w:rPr>
                <w:rFonts w:ascii="Times New Roman" w:eastAsia="Times New Roman" w:hAnsi="Times New Roman" w:cs="Times New Roman"/>
              </w:rPr>
              <w:t xml:space="preserve"> (str. 20-178). Warszawa: PWN.</w:t>
            </w:r>
          </w:p>
          <w:p w14:paraId="2FF614F4" w14:textId="77777777" w:rsidR="00581371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Hornowski B. (1985).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różnic indywidualnych</w:t>
            </w:r>
            <w:r>
              <w:rPr>
                <w:rFonts w:ascii="Times New Roman" w:eastAsia="Times New Roman" w:hAnsi="Times New Roman" w:cs="Times New Roman"/>
              </w:rPr>
              <w:t xml:space="preserve"> (str. 23-120))Warszawa: WsiP.</w:t>
            </w:r>
          </w:p>
          <w:p w14:paraId="0E8E9768" w14:textId="77777777" w:rsidR="0058137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Fajkowska-Stanik M., Klonowicz T. (2003).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różnic indywidualnych. Wybrane zagadnienia.</w:t>
            </w:r>
            <w:r>
              <w:rPr>
                <w:rFonts w:ascii="Times New Roman" w:eastAsia="Times New Roman" w:hAnsi="Times New Roman" w:cs="Times New Roman"/>
              </w:rPr>
              <w:t xml:space="preserve"> (str. 80-130). Gdańsk: Gdańskie Wydawnictwo Psychologiczne.</w:t>
            </w:r>
          </w:p>
          <w:p w14:paraId="0F531E31" w14:textId="77777777" w:rsidR="0058137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Gawda, B. Błaszczak, A. (2021).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Emocje i temperament zwierząt</w:t>
            </w:r>
            <w:r>
              <w:rPr>
                <w:rFonts w:ascii="Times New Roman" w:eastAsia="Times New Roman" w:hAnsi="Times New Roman" w:cs="Times New Roman"/>
              </w:rPr>
              <w:t xml:space="preserve">. (str.11-123). Warszawa: Wydawnictwo CeDeWu. </w:t>
            </w:r>
          </w:p>
          <w:p w14:paraId="02B9F421" w14:textId="77777777" w:rsidR="0058137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E58">
              <w:rPr>
                <w:rFonts w:ascii="Times New Roman" w:eastAsia="Times New Roman" w:hAnsi="Times New Roman" w:cs="Times New Roman"/>
                <w:lang w:val="en-US"/>
              </w:rPr>
              <w:t xml:space="preserve">Gawda B. &amp; Czubak K. (2017). Prevalence of personality disorders in a general population among men and women.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Psychological Reports</w:t>
            </w:r>
            <w:r>
              <w:rPr>
                <w:rFonts w:ascii="Times New Roman" w:eastAsia="Times New Roman" w:hAnsi="Times New Roman" w:cs="Times New Roman"/>
              </w:rPr>
              <w:t xml:space="preserve">, 120 (3), 503-519. </w:t>
            </w:r>
          </w:p>
          <w:p w14:paraId="32D73D8D" w14:textId="77777777" w:rsidR="0058137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2E58">
              <w:rPr>
                <w:rFonts w:ascii="Times New Roman" w:eastAsia="Times New Roman" w:hAnsi="Times New Roman" w:cs="Times New Roman"/>
                <w:lang w:val="en-US"/>
              </w:rPr>
              <w:t xml:space="preserve">Gawda, B. (2018). Cross-cultural studies on the prevalence of personality disorders. </w:t>
            </w:r>
            <w:r>
              <w:rPr>
                <w:rFonts w:ascii="Times New Roman" w:eastAsia="Times New Roman" w:hAnsi="Times New Roman" w:cs="Times New Roman"/>
              </w:rPr>
              <w:t>Current Issues in Personality Psychology, 6(4), 318-329.</w:t>
            </w:r>
          </w:p>
        </w:tc>
      </w:tr>
      <w:tr w:rsidR="00581371" w14:paraId="0E5BD2BE" w14:textId="77777777">
        <w:trPr>
          <w:trHeight w:val="567"/>
          <w:jc w:val="center"/>
        </w:trPr>
        <w:tc>
          <w:tcPr>
            <w:tcW w:w="195" w:type="dxa"/>
          </w:tcPr>
          <w:p w14:paraId="572768B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0" w:type="dxa"/>
            <w:gridSpan w:val="12"/>
            <w:vAlign w:val="center"/>
          </w:tcPr>
          <w:p w14:paraId="1DE84AFC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Sposoby oceny (f – formująca, p – podsumowująca):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F1- </w:t>
            </w:r>
            <w:r>
              <w:rPr>
                <w:rFonts w:ascii="Times New Roman" w:eastAsia="Times New Roman" w:hAnsi="Times New Roman" w:cs="Times New Roman"/>
              </w:rPr>
              <w:t>ocena aktywności na zajęciach</w:t>
            </w:r>
          </w:p>
          <w:p w14:paraId="7391629C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F2-</w:t>
            </w:r>
            <w:r>
              <w:rPr>
                <w:rFonts w:ascii="Times New Roman" w:eastAsia="Times New Roman" w:hAnsi="Times New Roman" w:cs="Times New Roman"/>
              </w:rPr>
              <w:t xml:space="preserve"> projekt i prezentacja na wybrany temat</w:t>
            </w:r>
          </w:p>
          <w:p w14:paraId="2B80FC4D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</w:rPr>
              <w:t>egzamin pisemny</w:t>
            </w:r>
          </w:p>
        </w:tc>
      </w:tr>
      <w:tr w:rsidR="00581371" w14:paraId="2D1C3C36" w14:textId="77777777">
        <w:trPr>
          <w:trHeight w:val="575"/>
          <w:jc w:val="center"/>
        </w:trPr>
        <w:tc>
          <w:tcPr>
            <w:tcW w:w="195" w:type="dxa"/>
          </w:tcPr>
          <w:p w14:paraId="73B08269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5587E99C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5175" w:type="dxa"/>
            <w:gridSpan w:val="7"/>
            <w:vAlign w:val="center"/>
          </w:tcPr>
          <w:p w14:paraId="5A19DC10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581371" w14:paraId="3564F27E" w14:textId="77777777">
        <w:trPr>
          <w:trHeight w:val="575"/>
          <w:jc w:val="center"/>
        </w:trPr>
        <w:tc>
          <w:tcPr>
            <w:tcW w:w="195" w:type="dxa"/>
          </w:tcPr>
          <w:p w14:paraId="2F3EBAC3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148F87D6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5175" w:type="dxa"/>
            <w:gridSpan w:val="7"/>
            <w:vAlign w:val="center"/>
          </w:tcPr>
          <w:p w14:paraId="615ACAAC" w14:textId="77777777" w:rsidR="00581371" w:rsidRDefault="00000000">
            <w:pPr>
              <w:numPr>
                <w:ilvl w:val="0"/>
                <w:numId w:val="5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731E0F95" w14:textId="77777777" w:rsidR="00581371" w:rsidRDefault="00000000">
            <w:pPr>
              <w:numPr>
                <w:ilvl w:val="0"/>
                <w:numId w:val="5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(pytania zamknięte, jednokrotny wybór)</w:t>
            </w:r>
          </w:p>
          <w:p w14:paraId="6348C4EF" w14:textId="77777777" w:rsidR="00581371" w:rsidRDefault="00000000">
            <w:pPr>
              <w:numPr>
                <w:ilvl w:val="0"/>
                <w:numId w:val="5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odbędzie się stacjonarnie</w:t>
            </w:r>
          </w:p>
          <w:p w14:paraId="79B7DDC3" w14:textId="77777777" w:rsidR="00581371" w:rsidRDefault="00000000">
            <w:pPr>
              <w:numPr>
                <w:ilvl w:val="0"/>
                <w:numId w:val="5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oceny końcowej: </w:t>
            </w:r>
          </w:p>
          <w:p w14:paraId="1DC372FC" w14:textId="77777777" w:rsidR="00581371" w:rsidRDefault="00000000">
            <w:pPr>
              <w:spacing w:after="0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- od 91 % do 100 %</w:t>
            </w:r>
          </w:p>
          <w:p w14:paraId="6E1EEBCF" w14:textId="77777777" w:rsidR="00581371" w:rsidRDefault="00000000">
            <w:pPr>
              <w:spacing w:after="0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- od 81 % do 90 %</w:t>
            </w:r>
          </w:p>
          <w:p w14:paraId="3349623B" w14:textId="77777777" w:rsidR="00581371" w:rsidRDefault="00000000">
            <w:pPr>
              <w:spacing w:after="0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(4,0) - od 71 % do 80 %</w:t>
            </w:r>
          </w:p>
          <w:p w14:paraId="214A38FE" w14:textId="77777777" w:rsidR="00581371" w:rsidRDefault="00000000">
            <w:pPr>
              <w:spacing w:after="0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plus (3,5) - od 61 % do 70 %</w:t>
            </w:r>
          </w:p>
          <w:p w14:paraId="37792DA8" w14:textId="77777777" w:rsidR="00581371" w:rsidRDefault="00000000">
            <w:pPr>
              <w:spacing w:after="0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(3,0) - od 51 % do 60 %</w:t>
            </w:r>
          </w:p>
          <w:p w14:paraId="3ED96783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Niedostateczna (2,0) - poniżej 51 %</w:t>
            </w:r>
          </w:p>
        </w:tc>
      </w:tr>
      <w:tr w:rsidR="00581371" w14:paraId="2BB26243" w14:textId="77777777">
        <w:trPr>
          <w:trHeight w:val="575"/>
          <w:jc w:val="center"/>
        </w:trPr>
        <w:tc>
          <w:tcPr>
            <w:tcW w:w="195" w:type="dxa"/>
          </w:tcPr>
          <w:p w14:paraId="7CB7A6CF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2C8747A4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5175" w:type="dxa"/>
            <w:gridSpan w:val="7"/>
            <w:vAlign w:val="center"/>
          </w:tcPr>
          <w:p w14:paraId="5CD41C8B" w14:textId="77777777" w:rsidR="00581371" w:rsidRDefault="00000000">
            <w:pPr>
              <w:numPr>
                <w:ilvl w:val="0"/>
                <w:numId w:val="5"/>
              </w:numPr>
              <w:spacing w:after="0"/>
              <w:ind w:left="446" w:hanging="3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Minimum 80% obecności na zajęciach</w:t>
            </w:r>
          </w:p>
          <w:p w14:paraId="5057E2A7" w14:textId="77777777" w:rsidR="00581371" w:rsidRDefault="00000000">
            <w:pPr>
              <w:numPr>
                <w:ilvl w:val="0"/>
                <w:numId w:val="5"/>
              </w:numPr>
              <w:spacing w:after="0"/>
              <w:ind w:left="446" w:hanging="3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Aktywny udział w zajęciach; Student powinien regularnie uczestniczyć w zajęciach, aktywnie uczestnicząc w dyskusjach i zadaniach praktycznych.</w:t>
            </w:r>
          </w:p>
          <w:p w14:paraId="569EF88F" w14:textId="77777777" w:rsidR="00581371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Prezentacja</w:t>
            </w:r>
            <w:r>
              <w:rPr>
                <w:rFonts w:ascii="Times New Roman" w:eastAsia="Times New Roman" w:hAnsi="Times New Roman" w:cs="Times New Roman"/>
              </w:rPr>
              <w:t>: Przygotowanie prezentacji na temat wybranego zagadnienia związanego z różnicami indywidualnymi. Prezentacja powinna zawierać analizę teoretyczną oraz przykłady praktyczne. Ocena będzie uwzględniała klarowność przekazu oraz umiejętność prezentacji.</w:t>
            </w:r>
          </w:p>
        </w:tc>
      </w:tr>
      <w:tr w:rsidR="00581371" w14:paraId="63D34162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7075C9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6638AD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581371" w14:paraId="68AC6EF9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804B9B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6E14E9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C90525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7B4A860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581371" w14:paraId="6075A76C" w14:textId="77777777">
        <w:trPr>
          <w:gridAfter w:val="1"/>
          <w:trHeight w:val="413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2A294A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E7EC5C2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</w:tr>
      <w:tr w:rsidR="00581371" w14:paraId="27590DA7" w14:textId="77777777">
        <w:trPr>
          <w:gridAfter w:val="1"/>
          <w:trHeight w:val="546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A4D57E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9F14E4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F17207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i uporządkowaną wiedzę o teoriach i modelach różnic indywidualnych (cechy, temperament, inteligencja, style poznawcze) oraz potrafi je porównywać i krytycznie oceniać w świetle danych empirycznych.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B0527B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K_W06  K_W05</w:t>
            </w:r>
          </w:p>
        </w:tc>
      </w:tr>
      <w:tr w:rsidR="00581371" w14:paraId="6F8C6602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6D98C3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8A2330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74EB09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i interpretuje podstawy teoretyczne oraz metodologiczne pomiaru różnic indywidualnych; ocenia trafność i ograniczenia wybranych podejść i narzędzi w kontekście problemu badawczego/praktycznego.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03596F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K_W06</w:t>
            </w:r>
          </w:p>
          <w:p w14:paraId="0B69A931" w14:textId="7AE6D312" w:rsidR="00E62C43" w:rsidRDefault="00E62C4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81371" w14:paraId="5653D927" w14:textId="77777777" w:rsidTr="00162E58">
        <w:trPr>
          <w:gridAfter w:val="1"/>
          <w:trHeight w:val="326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32572E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</w:tcPr>
          <w:p w14:paraId="3E4774A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581371" w14:paraId="6F8C51D5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BE91DF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EEF6A5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790197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Analizuje historyczne i współczesne sposoby rozumienia pojęć z psychologii różnic indywidualnych, odwołując się do teorii i badań; formułuje samodzielne, uzasadnione wnioski.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EDC09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K_U03 K_U11</w:t>
            </w:r>
          </w:p>
        </w:tc>
      </w:tr>
      <w:tr w:rsidR="00581371" w14:paraId="31F6FBAE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2C4F4A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EAADEA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1EB05E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Interpretuje zróżnicowanie zachowań i funkcjonowania człowieka w oparciu o dorobek psychologii różnic indywidualnych; wskazuje możliwe alternatywne wyjaśnienia oraz ograniczenia wnioskowania.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60CF22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K_U07   K_U08</w:t>
            </w:r>
          </w:p>
        </w:tc>
      </w:tr>
      <w:tr w:rsidR="00581371" w14:paraId="17C0FF18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22221E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83C5EC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4CAD4D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Docenia znaczenie różnorodności indywidualnej i wykazuje postawę szacunku wobec odmienności; jest gotów do odpowiedzialnego posługiwania się wiedzą i wynikami pomiaru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różnic indywidualnych z uwzględnieniem konsekwencji etycznych i społecznych.</w:t>
            </w: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66489A" w14:textId="77777777" w:rsidR="00435CD5" w:rsidRDefault="00435CD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35CD5">
              <w:rPr>
                <w:rFonts w:ascii="Times New Roman" w:eastAsia="Times New Roman" w:hAnsi="Times New Roman" w:cs="Times New Roman"/>
              </w:rPr>
              <w:lastRenderedPageBreak/>
              <w:t xml:space="preserve">K_K09 </w:t>
            </w:r>
          </w:p>
          <w:p w14:paraId="59A13026" w14:textId="425F55AB" w:rsidR="00581371" w:rsidRDefault="00435CD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35CD5">
              <w:rPr>
                <w:rFonts w:ascii="Times New Roman" w:eastAsia="Times New Roman" w:hAnsi="Times New Roman" w:cs="Times New Roman"/>
              </w:rPr>
              <w:t xml:space="preserve"> K_K12</w:t>
            </w:r>
          </w:p>
        </w:tc>
      </w:tr>
      <w:tr w:rsidR="00581371" w14:paraId="4E407726" w14:textId="77777777">
        <w:trPr>
          <w:gridAfter w:val="1"/>
          <w:trHeight w:val="567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06F4AA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FE4F965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581371" w14:paraId="17DC3DCC" w14:textId="77777777">
        <w:trPr>
          <w:gridAfter w:val="1"/>
          <w:trHeight w:val="1638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27D66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5581E75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0953277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6BDCF68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ACA89E6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718EA1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1DA1EC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581371" w14:paraId="259CDEA2" w14:textId="77777777">
        <w:trPr>
          <w:gridAfter w:val="1"/>
          <w:trHeight w:val="343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3B6BBC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A1071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9966C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K_W06  K_W05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09ACD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Wykład: C1, C2, C4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37F92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W1–W13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5D8F6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542F06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581371" w14:paraId="2654AC9A" w14:textId="77777777">
        <w:trPr>
          <w:gridAfter w:val="1"/>
          <w:trHeight w:val="465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15C472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1E09D9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093423" w14:textId="77777777" w:rsidR="00435CD5" w:rsidRDefault="00435CD5" w:rsidP="00435CD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K_W06</w:t>
            </w:r>
          </w:p>
          <w:p w14:paraId="3F6CD221" w14:textId="0721CA95" w:rsidR="00581371" w:rsidRDefault="00435CD5" w:rsidP="00435CD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K_W07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C5FF0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Wykład: C2, C3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D65F00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W1, W4, W7, W10–W13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077590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360B1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581371" w14:paraId="51122C7B" w14:textId="77777777">
        <w:trPr>
          <w:gridAfter w:val="1"/>
          <w:trHeight w:val="403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6E66B7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673AFF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4F0B2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K_U03 K_U11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6C7C37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C1, C2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E60CA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Ć1–Ć3, Ć5, Ć7, Ć9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80DFE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1B5ED7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</w:t>
            </w:r>
          </w:p>
        </w:tc>
      </w:tr>
      <w:tr w:rsidR="00581371" w14:paraId="01F483CC" w14:textId="77777777">
        <w:trPr>
          <w:gridAfter w:val="1"/>
          <w:trHeight w:val="395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41445F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E8DA9B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17744E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K_U07   K_U08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D5A1E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C2, C3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B05B3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Ć4–Ć15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A8B12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A0694E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</w:t>
            </w:r>
          </w:p>
        </w:tc>
      </w:tr>
      <w:tr w:rsidR="00581371" w14:paraId="0DB65B2A" w14:textId="77777777">
        <w:trPr>
          <w:gridAfter w:val="1"/>
          <w:trHeight w:val="416"/>
          <w:jc w:val="center"/>
        </w:trPr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70CDE7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97DD0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B3AFB8" w14:textId="77777777" w:rsidR="00435CD5" w:rsidRDefault="00435CD5" w:rsidP="00435CD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35CD5">
              <w:rPr>
                <w:rFonts w:ascii="Times New Roman" w:eastAsia="Times New Roman" w:hAnsi="Times New Roman" w:cs="Times New Roman"/>
              </w:rPr>
              <w:t xml:space="preserve">K_K09 </w:t>
            </w:r>
          </w:p>
          <w:p w14:paraId="13068F3A" w14:textId="166904B5" w:rsidR="00581371" w:rsidRDefault="00435CD5" w:rsidP="00435CD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35CD5">
              <w:rPr>
                <w:rFonts w:ascii="Times New Roman" w:eastAsia="Times New Roman" w:hAnsi="Times New Roman" w:cs="Times New Roman"/>
              </w:rPr>
              <w:t xml:space="preserve"> K_K12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B158B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C3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A4F588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Ć14–Ć15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6C0F2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8D9C6B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</w:t>
            </w:r>
          </w:p>
        </w:tc>
      </w:tr>
      <w:tr w:rsidR="00581371" w14:paraId="75B839D8" w14:textId="77777777">
        <w:trPr>
          <w:trHeight w:val="480"/>
          <w:jc w:val="center"/>
        </w:trPr>
        <w:tc>
          <w:tcPr>
            <w:tcW w:w="357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7D406C5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C147A01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89921F4" w14:textId="77777777" w:rsidR="005813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581371" w14:paraId="1DB33C0F" w14:textId="77777777">
        <w:trPr>
          <w:trHeight w:val="480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7901A1E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E46B41C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9786D6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C09594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581371" w14:paraId="66C986D4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13CC91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9B843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2CB60E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5130CB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581371" w14:paraId="30242341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465DD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8BC1E0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997902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C3F1E8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581371" w14:paraId="7AA33386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69438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4FDCB1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D265EB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9CA64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81371" w14:paraId="1FBFE5FC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FC9E0E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485B06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D8CA25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CFECE6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81371" w14:paraId="498CCE89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E6B16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300FAF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D69BE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285D37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81371" w14:paraId="09268A40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DC4984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FD2E6F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EB3E3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BF121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81371" w14:paraId="7E92019E" w14:textId="77777777">
        <w:trPr>
          <w:trHeight w:val="567"/>
          <w:jc w:val="center"/>
        </w:trPr>
        <w:tc>
          <w:tcPr>
            <w:tcW w:w="3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927711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EE9B65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CC51D2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6BE738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81371" w14:paraId="018B3B53" w14:textId="77777777">
        <w:trPr>
          <w:trHeight w:val="567"/>
          <w:jc w:val="center"/>
        </w:trPr>
        <w:tc>
          <w:tcPr>
            <w:tcW w:w="357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550608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D52FA8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921633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6A7806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</w:tr>
      <w:tr w:rsidR="00581371" w14:paraId="4F7D4DBD" w14:textId="77777777">
        <w:trPr>
          <w:trHeight w:val="567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6F9B05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9AEDAE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9CE981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B6C3A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581371" w14:paraId="4FDE33B7" w14:textId="77777777">
        <w:trPr>
          <w:trHeight w:val="567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1C249A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B4F2B9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14:paraId="7FD087AF" w14:textId="77777777" w:rsidR="00581371" w:rsidRDefault="0058137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14:paraId="7DF234BD" w14:textId="77777777" w:rsidR="00581371" w:rsidRDefault="0058137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81371" w14:paraId="0B6EE90E" w14:textId="77777777">
        <w:trPr>
          <w:trHeight w:val="567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72D377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2749DB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49374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DAFED5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81371" w14:paraId="614F4A82" w14:textId="77777777">
        <w:trPr>
          <w:trHeight w:val="567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EF6FFD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A815B3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55573B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005F28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581371" w14:paraId="52A161E0" w14:textId="77777777">
        <w:trPr>
          <w:trHeight w:val="567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EA5A48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965C10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56BED6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E3D64F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581371" w14:paraId="4A4677B9" w14:textId="77777777">
        <w:trPr>
          <w:trHeight w:val="567"/>
          <w:jc w:val="center"/>
        </w:trPr>
        <w:tc>
          <w:tcPr>
            <w:tcW w:w="35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34ABAA" w14:textId="77777777" w:rsidR="00581371" w:rsidRDefault="00581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AA51B4" w14:textId="77777777" w:rsidR="00581371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0D4206" w14:textId="77777777" w:rsidR="00581371" w:rsidRDefault="00581371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AAE601" w14:textId="77777777" w:rsidR="00581371" w:rsidRDefault="00581371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81371" w14:paraId="2328F074" w14:textId="77777777">
        <w:trPr>
          <w:trHeight w:val="567"/>
          <w:jc w:val="center"/>
        </w:trPr>
        <w:tc>
          <w:tcPr>
            <w:tcW w:w="73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C6BD95D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7E8081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14A5CA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</w:tr>
      <w:tr w:rsidR="00581371" w14:paraId="2F3D3ED1" w14:textId="77777777">
        <w:trPr>
          <w:trHeight w:val="567"/>
          <w:jc w:val="center"/>
        </w:trPr>
        <w:tc>
          <w:tcPr>
            <w:tcW w:w="73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49D6336" w14:textId="77777777" w:rsidR="00581371" w:rsidRDefault="0058137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F3FCFC" w14:textId="77777777" w:rsidR="00581371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14:paraId="5B9FA7A6" w14:textId="77777777" w:rsidR="00581371" w:rsidRDefault="0058137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</w:p>
    <w:p w14:paraId="16EF6F56" w14:textId="77777777" w:rsidR="00581371" w:rsidRDefault="00581371">
      <w:pPr>
        <w:rPr>
          <w:rFonts w:ascii="Times New Roman" w:eastAsia="Times New Roman" w:hAnsi="Times New Roman" w:cs="Times New Roman"/>
        </w:rPr>
      </w:pPr>
    </w:p>
    <w:sectPr w:rsidR="00581371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9139D" w14:textId="77777777" w:rsidR="0021010C" w:rsidRDefault="0021010C">
      <w:pPr>
        <w:spacing w:after="0" w:line="240" w:lineRule="auto"/>
      </w:pPr>
      <w:r>
        <w:separator/>
      </w:r>
    </w:p>
  </w:endnote>
  <w:endnote w:type="continuationSeparator" w:id="0">
    <w:p w14:paraId="3763B3CB" w14:textId="77777777" w:rsidR="0021010C" w:rsidRDefault="0021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A9BC06B-4979-4F1C-A80B-13E7731925A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0C1BD71-F0AA-47D9-A4D7-C19CB121F9F8}"/>
    <w:embedBold r:id="rId3" w:fontKey="{222ECFEA-C1FB-45F3-A859-D4DA7B6B3B66}"/>
    <w:embedItalic r:id="rId4" w:fontKey="{FB631768-F89B-4655-9CFB-1B9A621AFF55}"/>
  </w:font>
  <w:font w:name="Play">
    <w:charset w:val="00"/>
    <w:family w:val="auto"/>
    <w:pitch w:val="default"/>
    <w:embedRegular r:id="rId5" w:fontKey="{8DC77C71-F707-4B09-9450-0FA8A2506B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1C750A5B-BA5A-40C6-B80D-0320DD9D54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4F74B132-0127-4ECD-977F-639B8E97A8B2}"/>
    <w:embedBold r:id="rId8" w:fontKey="{41F01177-A181-4FAD-88B1-1BC2B7E634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8C4D" w14:textId="77777777" w:rsidR="005813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162E58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2E13EB1" w14:textId="77777777" w:rsidR="00581371" w:rsidRDefault="005813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93F7D" w14:textId="77777777" w:rsidR="0021010C" w:rsidRDefault="0021010C">
      <w:pPr>
        <w:spacing w:after="0" w:line="240" w:lineRule="auto"/>
      </w:pPr>
      <w:r>
        <w:separator/>
      </w:r>
    </w:p>
  </w:footnote>
  <w:footnote w:type="continuationSeparator" w:id="0">
    <w:p w14:paraId="63C3BEAD" w14:textId="77777777" w:rsidR="0021010C" w:rsidRDefault="00210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2107"/>
    <w:multiLevelType w:val="multilevel"/>
    <w:tmpl w:val="6722166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686995"/>
    <w:multiLevelType w:val="multilevel"/>
    <w:tmpl w:val="A3740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34089"/>
    <w:multiLevelType w:val="multilevel"/>
    <w:tmpl w:val="F270541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956FF7"/>
    <w:multiLevelType w:val="multilevel"/>
    <w:tmpl w:val="56AA2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0176A"/>
    <w:multiLevelType w:val="multilevel"/>
    <w:tmpl w:val="F10602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07329331">
    <w:abstractNumId w:val="2"/>
  </w:num>
  <w:num w:numId="2" w16cid:durableId="563685036">
    <w:abstractNumId w:val="0"/>
  </w:num>
  <w:num w:numId="3" w16cid:durableId="1513758064">
    <w:abstractNumId w:val="1"/>
  </w:num>
  <w:num w:numId="4" w16cid:durableId="629170941">
    <w:abstractNumId w:val="3"/>
  </w:num>
  <w:num w:numId="5" w16cid:durableId="1408770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371"/>
    <w:rsid w:val="00162E58"/>
    <w:rsid w:val="0021010C"/>
    <w:rsid w:val="00432FBF"/>
    <w:rsid w:val="00435CD5"/>
    <w:rsid w:val="00581371"/>
    <w:rsid w:val="00E6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78FA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CD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083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083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083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rsid w:val="00083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rsid w:val="00083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rsid w:val="00083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083B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083B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083B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3B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3B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3B4B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083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083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083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3B4B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083B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3B4B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083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3B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3B4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link w:val="StopkaZnak"/>
    <w:uiPriority w:val="99"/>
    <w:rsid w:val="00083B4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83B4B"/>
    <w:rPr>
      <w:rFonts w:ascii="Times New Roman" w:eastAsia="Times New Roman" w:hAnsi="Times New Roman" w:cs="Times New Roman"/>
      <w:kern w:val="0"/>
      <w:lang w:val="x-none" w:eastAsia="x-none"/>
    </w:rPr>
  </w:style>
  <w:style w:type="paragraph" w:styleId="Tekstpodstawowy">
    <w:name w:val="Body Text"/>
    <w:link w:val="TekstpodstawowyZnak"/>
    <w:rsid w:val="00083B4B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83B4B"/>
    <w:rPr>
      <w:rFonts w:ascii="Times New Roman" w:eastAsia="Times New Roman" w:hAnsi="Times New Roman" w:cs="Times New Roman"/>
      <w:kern w:val="0"/>
      <w:lang w:val="x-none" w:eastAsia="x-none"/>
    </w:rPr>
  </w:style>
  <w:style w:type="paragraph" w:styleId="Tekstpodstawowywcity">
    <w:name w:val="Body Text Indent"/>
    <w:link w:val="TekstpodstawowywcityZnak"/>
    <w:uiPriority w:val="99"/>
    <w:rsid w:val="00083B4B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83B4B"/>
    <w:rPr>
      <w:rFonts w:ascii="Arial" w:eastAsia="Times New Roman" w:hAnsi="Arial" w:cs="Times New Roman"/>
      <w:kern w:val="0"/>
      <w:sz w:val="22"/>
      <w:szCs w:val="22"/>
      <w:lang w:val="x-none" w:eastAsia="x-none"/>
    </w:rPr>
  </w:style>
  <w:style w:type="paragraph" w:customStyle="1" w:styleId="xl33">
    <w:name w:val="xl33"/>
    <w:rsid w:val="00083B4B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character" w:styleId="Pogrubienie">
    <w:name w:val="Strong"/>
    <w:uiPriority w:val="22"/>
    <w:qFormat/>
    <w:rsid w:val="00083B4B"/>
    <w:rPr>
      <w:b/>
      <w:bCs/>
    </w:rPr>
  </w:style>
  <w:style w:type="character" w:customStyle="1" w:styleId="Bodytext2">
    <w:name w:val="Body text (2)_"/>
    <w:link w:val="Bodytext20"/>
    <w:rsid w:val="00083B4B"/>
    <w:rPr>
      <w:rFonts w:cs="Calibri"/>
      <w:b/>
      <w:bCs/>
      <w:sz w:val="16"/>
      <w:szCs w:val="16"/>
      <w:shd w:val="clear" w:color="auto" w:fill="FFFFFF"/>
    </w:rPr>
  </w:style>
  <w:style w:type="paragraph" w:customStyle="1" w:styleId="Bodytext20">
    <w:name w:val="Body text (2)"/>
    <w:link w:val="Bodytext2"/>
    <w:rsid w:val="00083B4B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/>
      <w:b/>
      <w:bCs/>
      <w:kern w:val="2"/>
      <w:sz w:val="16"/>
      <w:szCs w:val="16"/>
    </w:rPr>
  </w:style>
  <w:style w:type="paragraph" w:customStyle="1" w:styleId="Bezodstpw1">
    <w:name w:val="Bez odstępów1"/>
    <w:rsid w:val="00083B4B"/>
    <w:pPr>
      <w:suppressAutoHyphens/>
      <w:spacing w:after="0" w:line="240" w:lineRule="auto"/>
    </w:pPr>
    <w:rPr>
      <w:rFonts w:cs="Times New Roman"/>
      <w:lang w:eastAsia="ar-SA"/>
    </w:rPr>
  </w:style>
  <w:style w:type="paragraph" w:customStyle="1" w:styleId="Akapitzlist1">
    <w:name w:val="Akapit z listą1"/>
    <w:rsid w:val="00083B4B"/>
    <w:pPr>
      <w:ind w:left="720"/>
      <w:contextualSpacing/>
    </w:pPr>
    <w:rPr>
      <w:rFonts w:eastAsia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5CA4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A05C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5CA4"/>
    <w:rPr>
      <w:rFonts w:ascii="Calibri" w:eastAsia="Calibri" w:hAnsi="Calibri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5C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5CA4"/>
    <w:rPr>
      <w:rFonts w:ascii="Calibri" w:eastAsia="Calibri" w:hAnsi="Calibri" w:cs="Times New Roman"/>
      <w:b/>
      <w:bCs/>
      <w:kern w:val="0"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ltzjmbGxnK0d0UW3X1gQFr2JtQ==">CgMxLjA4AHIhMVF5ejlTR3k0RGJTRHpFODlzRHhQUmJQY05jWE5jZnZt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1845</Words>
  <Characters>11074</Characters>
  <Application>Microsoft Office Word</Application>
  <DocSecurity>0</DocSecurity>
  <Lines>92</Lines>
  <Paragraphs>25</Paragraphs>
  <ScaleCrop>false</ScaleCrop>
  <Company/>
  <LinksUpToDate>false</LinksUpToDate>
  <CharactersWithSpaces>12894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Seiffert</dc:creator>
  <cp:lastModifiedBy>Jakub Seiffert</cp:lastModifiedBy>
  <cp:revision>4</cp:revision>
  <dcterms:created xsi:type="dcterms:W3CDTF">2026-03-11T21:12:00Z</dcterms:created>
  <dcterms:modified xsi:type="dcterms:W3CDTF">2026-03-11T21:14:00Z</dcterms:modified>
</cp:coreProperties>
</file>