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F5C8C" w14:textId="77777777" w:rsidR="004949D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16AA3EDB" wp14:editId="1C3A2736">
            <wp:simplePos x="0" y="0"/>
            <wp:positionH relativeFrom="column">
              <wp:posOffset>-400048</wp:posOffset>
            </wp:positionH>
            <wp:positionV relativeFrom="paragraph">
              <wp:posOffset>0</wp:posOffset>
            </wp:positionV>
            <wp:extent cx="2600325" cy="811530"/>
            <wp:effectExtent l="0" t="0" r="0" b="0"/>
            <wp:wrapTopAndBottom distT="0" dist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A1E3BE8" w14:textId="77777777" w:rsidR="004949DF" w:rsidRDefault="004949DF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0"/>
        <w:tblW w:w="988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493"/>
        <w:gridCol w:w="1780"/>
        <w:gridCol w:w="99"/>
        <w:gridCol w:w="1347"/>
        <w:gridCol w:w="225"/>
        <w:gridCol w:w="1813"/>
        <w:gridCol w:w="344"/>
        <w:gridCol w:w="483"/>
        <w:gridCol w:w="979"/>
        <w:gridCol w:w="33"/>
        <w:gridCol w:w="1292"/>
      </w:tblGrid>
      <w:tr w:rsidR="004949DF" w14:paraId="704C0769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4ECECF9" w14:textId="77777777" w:rsidR="004949DF" w:rsidRDefault="00000000">
            <w:pPr>
              <w:pStyle w:val="Nagwek2"/>
              <w:spacing w:line="276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kierunku kształcenia: PSYCHOLOGIA</w:t>
            </w:r>
          </w:p>
        </w:tc>
      </w:tr>
      <w:tr w:rsidR="004949DF" w14:paraId="3EB94E38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C54A1F" w14:textId="77777777" w:rsidR="004949DF" w:rsidRDefault="00000000">
            <w:pPr>
              <w:pStyle w:val="Nagwek2"/>
              <w:spacing w:line="276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Dziedzina nauk społecznych; dyscyplina: Psychologia</w:t>
            </w:r>
          </w:p>
        </w:tc>
      </w:tr>
      <w:tr w:rsidR="004949DF" w14:paraId="64F77E02" w14:textId="77777777">
        <w:trPr>
          <w:trHeight w:val="567"/>
          <w:jc w:val="center"/>
        </w:trPr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A94B5" w14:textId="77777777" w:rsidR="004949DF" w:rsidRDefault="00000000">
            <w:pPr>
              <w:pStyle w:val="Nagwek3"/>
              <w:spacing w:before="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6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7BFD7" w14:textId="77777777" w:rsidR="004949DF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Wykłady, Ćwiczenia</w:t>
            </w:r>
          </w:p>
        </w:tc>
      </w:tr>
      <w:tr w:rsidR="004949DF" w14:paraId="674C15A6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A09F1" w14:textId="77777777" w:rsidR="004949DF" w:rsidRDefault="00000000">
            <w:pPr>
              <w:pStyle w:val="Nagwek1"/>
              <w:spacing w:line="276" w:lineRule="auto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bCs w:val="0"/>
                <w:sz w:val="22"/>
                <w:szCs w:val="22"/>
              </w:rPr>
              <w:t xml:space="preserve"> Studia jednolite magisterskie (7 PRK)</w:t>
            </w:r>
          </w:p>
        </w:tc>
      </w:tr>
      <w:tr w:rsidR="004949DF" w14:paraId="07ADF1EC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77CDC" w14:textId="77777777" w:rsidR="004949DF" w:rsidRDefault="00000000">
            <w:pPr>
              <w:pStyle w:val="Nagwek2"/>
              <w:spacing w:line="276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Praktyczny</w:t>
            </w:r>
          </w:p>
        </w:tc>
      </w:tr>
      <w:tr w:rsidR="004949DF" w14:paraId="34BC2EF4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690B9" w14:textId="77777777" w:rsidR="004949DF" w:rsidRDefault="00000000">
            <w:pPr>
              <w:pStyle w:val="Nagwek2"/>
              <w:spacing w:line="276" w:lineRule="auto"/>
              <w:jc w:val="left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podstawowej jednostki organizacyjnej uczelni prowadzącej kierunek: </w:t>
            </w:r>
          </w:p>
          <w:p w14:paraId="5D8AE691" w14:textId="77777777" w:rsidR="004949DF" w:rsidRDefault="00000000">
            <w:pPr>
              <w:pStyle w:val="Nagwek2"/>
              <w:spacing w:line="276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Wydział Psychologii</w:t>
            </w:r>
          </w:p>
        </w:tc>
      </w:tr>
      <w:tr w:rsidR="004949DF" w14:paraId="792BC45D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32621E28" w14:textId="77777777" w:rsidR="004949DF" w:rsidRDefault="00000000">
            <w:pPr>
              <w:pStyle w:val="Nagwek2"/>
              <w:spacing w:line="276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przedmiotu kształcenia: PSYCHOLOGIA OGÓLNA: OSOBOWOŚĆ</w:t>
            </w:r>
          </w:p>
        </w:tc>
      </w:tr>
      <w:tr w:rsidR="004949DF" w14:paraId="777628E3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909D7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1E9B3FDE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Wykłady:</w:t>
            </w:r>
          </w:p>
          <w:p w14:paraId="44EDFB6B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Pogłębienie i uporządkowanie wiedzy o głównych teoriach osobowości w różnych nurtach psychologii, z uwzględnieniem ich kontekstu historycznego oraz aktualnej mocy wyjaśniającej i zastosowań.</w:t>
            </w:r>
          </w:p>
          <w:p w14:paraId="78D3148E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Krytyczna analiza pojęć i założeń teorii osobowości oraz ich użyteczności w opisie i wyjaśnianiu zachowań człowieka, z uwzględnieniem ograniczeń interpretacyjnych i alternatywnych ujęć.  </w:t>
            </w:r>
          </w:p>
          <w:p w14:paraId="54C87FE0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Zrozumienie i porównanie podejścia idiograficznego i nomotetycznego w opisie osobowości oraz konsekwencji wyboru podejścia dla wnioskowania i interpretacji funkcjonowania człowieka.</w:t>
            </w:r>
          </w:p>
          <w:p w14:paraId="2ADE8A9E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14:paraId="3678ABDC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Rozwijanie umiejętności analizy studiów przypadków i materiału opisowego z wykorzystaniem terminologii oraz mechanizmów wybranych teorii osobowości, wraz z formułowaniem uzasadnionych wniosków.</w:t>
            </w:r>
          </w:p>
          <w:p w14:paraId="4E65F64E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Doskonalenie umiejętności porównywania interpretacji zachowania w różnych podejściach teoretycznych (w tym idiograficznym i nomotetycznym), z identyfikacją mocnych stron, ograniczeń oraz granic wnioskowania i ryzyka naduogólnień.</w:t>
            </w:r>
          </w:p>
          <w:p w14:paraId="38A6F0F1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Kształtowanie umiejętności argumentowania i komunikowania interpretacji psychologicznej (ustnie i pisemnie) w oparciu o przesłanki/dane, z zachowaniem precyzji pojęciowej oraz odpowiedzialności etycznej.</w:t>
            </w:r>
          </w:p>
        </w:tc>
      </w:tr>
      <w:tr w:rsidR="004949DF" w14:paraId="51CA945A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B766B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Przedmiot wprowadzający: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Wprowadzenie do psychologii, Historia myśli psychologicznej.</w:t>
            </w:r>
          </w:p>
        </w:tc>
      </w:tr>
      <w:tr w:rsidR="004949DF" w14:paraId="1339B71F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A2459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Wymagania wstępne w zakresie wiedzy, umiejętności i kompetencji:</w:t>
            </w:r>
          </w:p>
          <w:p w14:paraId="11415A81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posiada umiejętność posługiwania się terminologią psychologiczną w stopniu umożliwiającym analizę i interpretację koncepcji osobowości oraz krytyczne porównywanie ujęć teoretycznych omawianych w trakcie zajęć.</w:t>
            </w:r>
          </w:p>
        </w:tc>
      </w:tr>
      <w:tr w:rsidR="004949DF" w14:paraId="7436C3D4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2D2D7" w14:textId="77777777" w:rsidR="004949DF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Metody kształcenia:</w:t>
            </w:r>
          </w:p>
          <w:p w14:paraId="40CF4CE2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Mk1 </w:t>
            </w:r>
            <w:r>
              <w:rPr>
                <w:rFonts w:ascii="Times New Roman" w:eastAsia="Times New Roman" w:hAnsi="Times New Roman" w:cs="Times New Roman"/>
              </w:rPr>
              <w:t>Wykład problemowy (prezentacje multimedialne, schematy/infografiki modeli osobowości, plansze/diagramy porównawcze teorii, krótkie materiały źródłowe: fragmenty tekstów klasycznych i współczesnych).</w:t>
            </w:r>
          </w:p>
          <w:p w14:paraId="6BC55E94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Mk2 </w:t>
            </w:r>
            <w:r>
              <w:rPr>
                <w:rFonts w:ascii="Times New Roman" w:eastAsia="Times New Roman" w:hAnsi="Times New Roman" w:cs="Times New Roman"/>
              </w:rPr>
              <w:t>Dyskusja moderowana / debata akademicka (studia przypadków i opisy zachowań, pytania problemowe, krótkie teksty do dyskusji, przykładowe fragmenty opisów klinicznych/biograficznych do interpretacji).</w:t>
            </w:r>
          </w:p>
          <w:p w14:paraId="0DCA43DD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Mk3 </w:t>
            </w:r>
            <w:r>
              <w:rPr>
                <w:rFonts w:ascii="Times New Roman" w:eastAsia="Times New Roman" w:hAnsi="Times New Roman" w:cs="Times New Roman"/>
              </w:rPr>
              <w:t>Krytyczna analiza literatury przedmiotu (monografie i rozdziały podręczników, artykuły recenzowane, bazy bibliograficzne/pełnotekstowe, notatki i konspekty przygotowane przez prowadzącego).</w:t>
            </w:r>
          </w:p>
          <w:p w14:paraId="239A1E93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Mk4 </w:t>
            </w:r>
            <w:r>
              <w:rPr>
                <w:rFonts w:ascii="Times New Roman" w:eastAsia="Times New Roman" w:hAnsi="Times New Roman" w:cs="Times New Roman"/>
              </w:rPr>
              <w:t>Ćwiczenia: analiza przypadków i zadania interpretacyjne w grupach + krótkie prezentacje (karty pracy, zestawy opisów przypadków, arkusze kryteriów interpretacji/argumentacji, materiały do prezentacji studenckich).</w:t>
            </w:r>
          </w:p>
          <w:p w14:paraId="6A93A419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 (Pd):</w:t>
            </w:r>
          </w:p>
          <w:p w14:paraId="3D0B43DA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Pd1 </w:t>
            </w:r>
            <w:r>
              <w:rPr>
                <w:rFonts w:ascii="Times New Roman" w:eastAsia="Times New Roman" w:hAnsi="Times New Roman" w:cs="Times New Roman"/>
              </w:rPr>
              <w:t>Prezentacje multimedialne i plansze dydaktyczne (schematy teorii, diagramy porównawcze, infografiki).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Pd2 </w:t>
            </w:r>
            <w:r>
              <w:rPr>
                <w:rFonts w:ascii="Times New Roman" w:eastAsia="Times New Roman" w:hAnsi="Times New Roman" w:cs="Times New Roman"/>
              </w:rPr>
              <w:t>Materiały źródłowe do analizy i dyskusji (studia przypadków, opisy zachowań, fragmenty tekstów klasycznych i artykułów recenzowanych).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Pd3 </w:t>
            </w:r>
            <w:r>
              <w:rPr>
                <w:rFonts w:ascii="Times New Roman" w:eastAsia="Times New Roman" w:hAnsi="Times New Roman" w:cs="Times New Roman"/>
              </w:rPr>
              <w:t>Materiały ćwiczeniowe (karty pracy, arkusze kryteriów analizy/argumentacji, zestawy zadań interpretacyjnych, materiały do prezentacji studenckich).</w:t>
            </w:r>
          </w:p>
        </w:tc>
      </w:tr>
      <w:tr w:rsidR="004949DF" w14:paraId="154B3E3B" w14:textId="77777777">
        <w:trPr>
          <w:trHeight w:val="273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7403A0B6" w14:textId="77777777" w:rsidR="004949DF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Program kształcenia (treści nauczania)</w:t>
            </w:r>
          </w:p>
          <w:p w14:paraId="4A395A55" w14:textId="77777777" w:rsidR="004949DF" w:rsidRDefault="00494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4949DF" w14:paraId="7832605E" w14:textId="77777777">
        <w:trPr>
          <w:trHeight w:val="2402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1EA0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WYKŁADY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(W)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14:paraId="2D6694A7" w14:textId="77777777" w:rsidR="004949DF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Psychologia osobowości: przedmiot badań, kluczowe kategorie pojęciowe i sporne definicje. Użyteczność teorii osobowości w praktyce psychologicznej (opis, wyjaśnianie, prognozowanie) oraz granice uprawnionego wnioskowania o osobowości.</w:t>
            </w:r>
          </w:p>
          <w:p w14:paraId="53618ACF" w14:textId="77777777" w:rsidR="004949DF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Teoria psychoanalityczna Z. Freuda: krytyczna analiza modelu strukturalnego osobowości oraz mechanizmów obronnych jako wyjaśnienia funkcjonowania intrapsychicznego; konsekwencje interpretacyjne i ograniczenia podejścia.</w:t>
            </w:r>
          </w:p>
          <w:p w14:paraId="60170442" w14:textId="77777777" w:rsidR="004949DF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Psychologia analityczna C. G. Junga: struktura osobowości, archetypy, anima/animus, persona. Interpretacja funkcji archetypów w opisie rozwoju i zachowania oraz ocena możliwości operacjonalizacji i ograniczeń weryfikacji empirycznej.</w:t>
            </w:r>
          </w:p>
          <w:p w14:paraId="6E0B48BE" w14:textId="77777777" w:rsidR="004949DF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Psychologia indywidualna A. Adlera: dążenie do wyższości, poczucie niższości i kompensacja, zainteresowanie społeczne, styl życia. Analiza mechanizmów wyjaśniających oraz ich implikacji dla rozumienia motywacji i funkcjonowania społecznego.</w:t>
            </w:r>
          </w:p>
          <w:p w14:paraId="41F28906" w14:textId="77777777" w:rsidR="004949DF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Koncepcja K. Horney: od lęku podstawowego do osobowości neurotycznej. Postawy i neurotyczne potrzeby jako kategorie interpretacyjne — analiza spójności wyjaśnienia oraz ryzyka redukcjonizmu.</w:t>
            </w:r>
          </w:p>
          <w:p w14:paraId="107F8985" w14:textId="77777777" w:rsidR="004949DF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Psychologia kulturowa E. Fromma: więź pierwotna, indywiduacja, ucieczka od wolności. Charakter indywidualny i społeczny — interpretacja relacji jednostka–kultura oraz krytyczna ocena zastosowań w analizie zjawisk społecznych.</w:t>
            </w:r>
          </w:p>
          <w:p w14:paraId="07CB5ABC" w14:textId="77777777" w:rsidR="004949DF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Psychospołeczna teoria E. Eriksona: rozwój tożsamości (moratorium, normatywne wzorce poszukiwania tożsamości, zamęt tożsamościowy, tożsamość negatywna). Analiza użyteczności pojęć w opisie rozwoju oraz ograniczeń uogólniania.</w:t>
            </w:r>
          </w:p>
          <w:p w14:paraId="1F64803E" w14:textId="77777777" w:rsidR="004949DF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Społeczno-poznawcze ujęcie A. Bandury: determinizm wzajemny, samoregulacja, autoskuteczność. Autoskuteczność a motywacja osiągnięć — interpretacja mechanizmów i konsekwencji dla wyjaśniania działania w złożonych warunkach.</w:t>
            </w:r>
          </w:p>
          <w:p w14:paraId="6D9888DC" w14:textId="77777777" w:rsidR="004949DF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Poznawcze podejście J. Rottera: zachowanie potencjalne i jego predyktory poznawcze. Analiza wnioskowania predykcyjnego (warunki trafności prognoz) i ograniczeń interpretacji w różnych kontekstach sytuacyjnych.</w:t>
            </w:r>
          </w:p>
          <w:p w14:paraId="0FC764EC" w14:textId="77777777" w:rsidR="004949DF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Humanistyczna teoria C. Rogersa: ja realne i idealne, tendencja aktualizacyjna, kongruencja i inkongruencja. Interpretacja mechanizmów rozwoju i funkcjonowania oraz krytyczne omówienie konsekwencji dla rozumienia dobrostanu i zmiany.</w:t>
            </w:r>
          </w:p>
          <w:p w14:paraId="6F777518" w14:textId="77777777" w:rsidR="004949DF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Perspektywa egzystencjalna w logoterapii V. Frankla: wola sensu, wymiary bytu ludzkiego, rozwój osobowości, nerwica noogenna. Analiza postaw degradujących indywidualność oraz granic interpretacji w diagnozie sensu.</w:t>
            </w:r>
          </w:p>
          <w:p w14:paraId="54D3FEDF" w14:textId="77777777" w:rsidR="004949DF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Ujęcia cechowe: G. Allport (psychologia jednostki), R. Cattell (podejście czynnikowo-analityczne). Porównanie założeń, sposobu opisu różnic indywidualnych i konsekwencji metodologicznych.</w:t>
            </w:r>
          </w:p>
          <w:p w14:paraId="63E5933E" w14:textId="77777777" w:rsidR="004949DF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Trójczynnikowa teoria H. Eysencka: neurotyzm, ekstrawersja, psychotyczność. Krytyczna interpretacja konstrukcji cech i ich znaczenia w opisie zachowania oraz ograniczeń wnioskowania na podstawie profilu cech.</w:t>
            </w:r>
          </w:p>
          <w:p w14:paraId="794E9061" w14:textId="77777777" w:rsidR="004949DF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Pięcioczynnikowy model osobowości (Costa, McCrae): analiza konstrukcji Wielkiej Piątki i ich 30 składowych; interpretacja znaczenia wymiarów cech dla wyjaśniania funkcjonowania człowieka oraz ograniczeń redukcji złożoności do profilu cech. </w:t>
            </w:r>
          </w:p>
          <w:p w14:paraId="5605D7CB" w14:textId="77777777" w:rsidR="004949DF" w:rsidRDefault="00494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93458A5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ĆWICZENIA (Ć)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 </w:t>
            </w:r>
          </w:p>
          <w:p w14:paraId="283979E0" w14:textId="77777777" w:rsidR="004949DF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materiału opisowego: identyfikacja mechanizmów obronnych w zachowaniu oraz uzasadnianie interpretacji z uwzględnieniem alternatywnych wyjaśnień i ograniczeń wnioskowania.</w:t>
            </w:r>
          </w:p>
          <w:p w14:paraId="4005483D" w14:textId="77777777" w:rsidR="004949DF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Krytyczna interpretacja studiów przypadków: rozpoznawanie archetypów (Mark, Pearson) oraz ocena spójności przypisań archetypicznych w kontekście opisu osoby.</w:t>
            </w:r>
          </w:p>
          <w:p w14:paraId="25B1190A" w14:textId="77777777" w:rsidR="004949DF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genezy poczucia niższości w ujęciu A. Adlera: formułowanie hipotez interpretacyjnych na podstawie opisów zachowania oraz ocena ich uzasadnienia.</w:t>
            </w:r>
          </w:p>
          <w:p w14:paraId="161A560C" w14:textId="77777777" w:rsidR="004949DF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Identyfikacja postaw i neurotycznych potrzeb wg K. Horney: analiza przypadków, argumentowanie wniosków i wskazywanie ryzyk nadinterpretacji.</w:t>
            </w:r>
          </w:p>
          <w:p w14:paraId="0B63D3CB" w14:textId="77777777" w:rsidR="004949DF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Rozpoznawanie charakterów indywidualnych i społecznych wg E. Fromma: analiza studiów przypadków z uwzględnieniem kontekstu społeczno-kulturowego i konsekwencji interpretacyjnych.</w:t>
            </w:r>
          </w:p>
          <w:p w14:paraId="0FC0C686" w14:textId="77777777" w:rsidR="004949DF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Teoria E. Eriksona w analizie rozwoju tożsamości: prognozowanie i identyfikacja normatywnych zachowań w okresie dorastania oraz krytyczne omówienie granic uogólniania.</w:t>
            </w:r>
          </w:p>
          <w:p w14:paraId="718CC9DC" w14:textId="77777777" w:rsidR="004949DF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Ocena autoskuteczności w świetle teorii A. Bandury: analiza przypadków w kontekście motywacji osiągnięć; formułowanie wniosków i rekomendacji z uwzględnieniem czynników sytuacyjnych.</w:t>
            </w:r>
          </w:p>
          <w:p w14:paraId="4128EC31" w14:textId="77777777" w:rsidR="004949DF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Prognozowanie zachowania potencjalnego wg J. Rottera: zastosowanie predyktorów poznawczych do analizy przypadków; porównywanie możliwych scenariuszy i ocena ich prawdopodobieństwa.</w:t>
            </w:r>
          </w:p>
          <w:p w14:paraId="59F9E399" w14:textId="77777777" w:rsidR="004949DF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Diagnozowanie kongruencji/inkongruencji (C. Rogers): analiza opisów zachowania; identyfikacja rodzaju inkongruencji i krytyczna ocena podstaw wnioskowania.</w:t>
            </w:r>
          </w:p>
          <w:p w14:paraId="629D4F94" w14:textId="77777777" w:rsidR="004949DF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postaw degradujących indywidualność wg V. Frankla: interpretacja studiów przypadków, formułowanie hipotez oraz wskazywanie ograniczeń interpretacyjnych w obszarze sensu i wartości.</w:t>
            </w:r>
          </w:p>
          <w:p w14:paraId="4802C94A" w14:textId="77777777" w:rsidR="004949DF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cech osobowości w ujęciu H. Eysencka: interpretacja opisów zachowania przez pryzmat wymiarów cech; ocena trafności wniosków i ryzyka uproszczeń.</w:t>
            </w:r>
          </w:p>
          <w:p w14:paraId="2DF104A2" w14:textId="77777777" w:rsidR="004949DF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cech osobowości w modelu Wielkiej Piątki: identyfikacja wymiarów i składowych na podstawie materiału opisowego; porównywanie profili i wnioskowanie z uwzględnieniem ograniczeń.</w:t>
            </w:r>
          </w:p>
          <w:p w14:paraId="124B9225" w14:textId="77777777" w:rsidR="004949DF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Integracja ujęć teoretycznych: identyfikacja indywidualności i wieloaspektowości osobowości w studiach przypadków z wykorzystaniem poznanych teorii; formułowanie spójnej interpretacji oraz uzasadnianie wyboru perspektywy (idiograficznej/nomotetycznej) i jej ograniczeń.</w:t>
            </w:r>
          </w:p>
        </w:tc>
      </w:tr>
      <w:tr w:rsidR="004949DF" w14:paraId="5484287B" w14:textId="77777777">
        <w:trPr>
          <w:trHeight w:val="704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7E890" w14:textId="77777777" w:rsidR="004949DF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Literatura podstawowa:</w:t>
            </w:r>
          </w:p>
          <w:p w14:paraId="2791C43D" w14:textId="77777777" w:rsidR="004949DF" w:rsidRDefault="0000000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48FC">
              <w:rPr>
                <w:rFonts w:ascii="Times New Roman" w:eastAsia="Times New Roman" w:hAnsi="Times New Roman" w:cs="Times New Roman"/>
                <w:lang w:val="en-US"/>
              </w:rPr>
              <w:t xml:space="preserve">Cervone, D., &amp; Pervin, L. A. (2011).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Osobowość: Teoria i badania</w:t>
            </w:r>
            <w:r>
              <w:rPr>
                <w:rFonts w:ascii="Times New Roman" w:eastAsia="Times New Roman" w:hAnsi="Times New Roman" w:cs="Times New Roman"/>
              </w:rPr>
              <w:t>. Wydawnictwo Uniwersytetu Jagiellońskiego.</w:t>
            </w:r>
          </w:p>
          <w:p w14:paraId="1E222F87" w14:textId="77777777" w:rsidR="004949DF" w:rsidRDefault="0000000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48FC">
              <w:rPr>
                <w:rFonts w:ascii="Times New Roman" w:eastAsia="Times New Roman" w:hAnsi="Times New Roman" w:cs="Times New Roman"/>
                <w:lang w:val="en-US"/>
              </w:rPr>
              <w:t xml:space="preserve">Hall, C. S., Lindzey, G., &amp; Campbell, J. B. (2010).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Teorie osobowości</w:t>
            </w:r>
            <w:r>
              <w:rPr>
                <w:rFonts w:ascii="Times New Roman" w:eastAsia="Times New Roman" w:hAnsi="Times New Roman" w:cs="Times New Roman"/>
              </w:rPr>
              <w:t>. Wydawnictwo Naukowe PWN.</w:t>
            </w:r>
          </w:p>
          <w:p w14:paraId="20861FF1" w14:textId="77777777" w:rsidR="004949DF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Strelau, J., &amp; Doliński, D. (Red.). (2018).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 akademicka</w:t>
            </w:r>
            <w:r>
              <w:rPr>
                <w:rFonts w:ascii="Times New Roman" w:eastAsia="Times New Roman" w:hAnsi="Times New Roman" w:cs="Times New Roman"/>
              </w:rPr>
              <w:t xml:space="preserve"> (T. 1). Gdańskie Wydawnictwo Psychologiczne.</w:t>
            </w:r>
          </w:p>
        </w:tc>
      </w:tr>
      <w:tr w:rsidR="004949DF" w14:paraId="005B3782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1DEE8" w14:textId="77777777" w:rsidR="004949DF" w:rsidRDefault="00000000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uzupełniająca</w:t>
            </w:r>
          </w:p>
          <w:p w14:paraId="61A15D85" w14:textId="77777777" w:rsidR="004949DF" w:rsidRDefault="0000000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Gałdowa, A. (Red.). (1999).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Klasyczne i współczesne koncepcje osobowości</w:t>
            </w:r>
            <w:r>
              <w:rPr>
                <w:rFonts w:ascii="Times New Roman" w:eastAsia="Times New Roman" w:hAnsi="Times New Roman" w:cs="Times New Roman"/>
              </w:rPr>
              <w:t>. Wydawnictwo Uniwersytetu Jagiellońskiego.</w:t>
            </w:r>
          </w:p>
          <w:p w14:paraId="068D9F3F" w14:textId="77777777" w:rsidR="004949DF" w:rsidRDefault="0000000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Oleś, P. K. (2009).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Wprowadzenie do psychologii osobowości</w:t>
            </w:r>
            <w:r>
              <w:rPr>
                <w:rFonts w:ascii="Times New Roman" w:eastAsia="Times New Roman" w:hAnsi="Times New Roman" w:cs="Times New Roman"/>
              </w:rPr>
              <w:t>. Wydawnictwo Naukowe Scholar.</w:t>
            </w:r>
          </w:p>
          <w:p w14:paraId="0222E4E5" w14:textId="77777777" w:rsidR="004949DF" w:rsidRDefault="0000000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Tokarz, A. (2010).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Wielkie teorie osobowości: Koniec czy początek?</w:t>
            </w:r>
            <w:r>
              <w:rPr>
                <w:rFonts w:ascii="Times New Roman" w:eastAsia="Times New Roman" w:hAnsi="Times New Roman" w:cs="Times New Roman"/>
              </w:rPr>
              <w:t xml:space="preserve"> Towarzystwo Naukowe Katolickiego Uniwersytetu Lubelskiego Jana Pawła II.</w:t>
            </w:r>
          </w:p>
          <w:p w14:paraId="0FB3D0BA" w14:textId="77777777" w:rsidR="004949D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48FC">
              <w:rPr>
                <w:rFonts w:ascii="Times New Roman" w:eastAsia="Times New Roman" w:hAnsi="Times New Roman" w:cs="Times New Roman"/>
                <w:lang w:val="en-US"/>
              </w:rPr>
              <w:t xml:space="preserve">Cervone, D., &amp; Pervin, L. A. (2018). </w:t>
            </w:r>
            <w:r w:rsidRPr="002F48FC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Personality: Theory and research</w:t>
            </w:r>
            <w:r w:rsidRPr="002F48FC">
              <w:rPr>
                <w:rFonts w:ascii="Times New Roman" w:eastAsia="Times New Roman" w:hAnsi="Times New Roman" w:cs="Times New Roman"/>
                <w:lang w:val="en-US"/>
              </w:rPr>
              <w:t xml:space="preserve"> (14th ed.). </w:t>
            </w:r>
            <w:r>
              <w:rPr>
                <w:rFonts w:ascii="Times New Roman" w:eastAsia="Times New Roman" w:hAnsi="Times New Roman" w:cs="Times New Roman"/>
              </w:rPr>
              <w:t>Wiley. (ISBN 978-1119492085)</w:t>
            </w:r>
          </w:p>
        </w:tc>
      </w:tr>
      <w:tr w:rsidR="004949DF" w14:paraId="5A5F41DC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D28BA" w14:textId="77777777" w:rsidR="004949DF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Sposoby oceny (f – formująca, p – podsumowująca): </w:t>
            </w:r>
          </w:p>
          <w:p w14:paraId="64C051BE" w14:textId="77777777" w:rsidR="004949DF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F1 - </w:t>
            </w:r>
            <w:r>
              <w:rPr>
                <w:rFonts w:ascii="Times New Roman" w:eastAsia="Times New Roman" w:hAnsi="Times New Roman" w:cs="Times New Roman"/>
              </w:rPr>
              <w:t>Ocena aktywności studenta podczas zajęć.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14:paraId="410CDD03" w14:textId="77777777" w:rsidR="004949DF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F2 - </w:t>
            </w:r>
            <w:r>
              <w:rPr>
                <w:rFonts w:ascii="Times New Roman" w:eastAsia="Times New Roman" w:hAnsi="Times New Roman" w:cs="Times New Roman"/>
              </w:rPr>
              <w:t>Zaliczenie ćwiczeń – kolokwium.</w:t>
            </w:r>
          </w:p>
          <w:p w14:paraId="258780A7" w14:textId="77777777" w:rsidR="004949DF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P1 - </w:t>
            </w:r>
            <w:r>
              <w:rPr>
                <w:rFonts w:ascii="Times New Roman" w:eastAsia="Times New Roman" w:hAnsi="Times New Roman" w:cs="Times New Roman"/>
              </w:rPr>
              <w:t>Egzamin pisemny.</w:t>
            </w:r>
          </w:p>
        </w:tc>
      </w:tr>
      <w:tr w:rsidR="004949DF" w14:paraId="7BA98B34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6E81CC" w14:textId="77777777" w:rsidR="004949DF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zajęć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761FAB" w14:textId="77777777" w:rsidR="004949DF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 zajęć</w:t>
            </w:r>
          </w:p>
        </w:tc>
      </w:tr>
      <w:tr w:rsidR="004949DF" w14:paraId="1A3608D0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E50EA" w14:textId="77777777" w:rsidR="004949DF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WYKŁADY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2E0C7" w14:textId="77777777" w:rsidR="004949D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Warunkiem przystąpienia do egzaminu jest uzyskanie zaliczenia z ćwiczeń.</w:t>
            </w:r>
          </w:p>
          <w:p w14:paraId="14F5D583" w14:textId="77777777" w:rsidR="004949D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Egzamin pisemny (test jednokrotnego wyboru).</w:t>
            </w:r>
          </w:p>
          <w:p w14:paraId="360CC44E" w14:textId="77777777" w:rsidR="004949D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Egzamin odbędzie się stacjonarnie.</w:t>
            </w:r>
          </w:p>
          <w:p w14:paraId="22D3AEC8" w14:textId="77777777" w:rsidR="004949DF" w:rsidRDefault="00494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DE4E08F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Kryteria oceny końcowej: </w:t>
            </w:r>
          </w:p>
          <w:p w14:paraId="4087A6BD" w14:textId="77777777" w:rsidR="004949D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Bardzo dobra (5,0) - od 91 % do 100 %</w:t>
            </w:r>
          </w:p>
          <w:p w14:paraId="2F1483DE" w14:textId="77777777" w:rsidR="004949D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Dobra plus (4,5) - od 81 % do 90 %</w:t>
            </w:r>
          </w:p>
          <w:p w14:paraId="4113A202" w14:textId="77777777" w:rsidR="004949D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Dobra (4,0) - od 71 % do 80 %</w:t>
            </w:r>
          </w:p>
          <w:p w14:paraId="293AEFB5" w14:textId="77777777" w:rsidR="004949D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Dostateczna plus (3,5) - od 61 % do 70 %</w:t>
            </w:r>
          </w:p>
          <w:p w14:paraId="550AC972" w14:textId="77777777" w:rsidR="004949D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Dostateczna (3,0) - od 51 % do 60 %</w:t>
            </w:r>
          </w:p>
          <w:p w14:paraId="19DEFA53" w14:textId="77777777" w:rsidR="004949D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Niedostateczna (2,0) - poniżej 51 %</w:t>
            </w:r>
          </w:p>
        </w:tc>
      </w:tr>
      <w:tr w:rsidR="004949DF" w14:paraId="7C637F1A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CD20E" w14:textId="77777777" w:rsidR="004949DF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ĆWICZENIA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3294B" w14:textId="77777777" w:rsidR="004949D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Minimum 80% obecności na zajęciach</w:t>
            </w:r>
          </w:p>
          <w:p w14:paraId="4D2403A7" w14:textId="77777777" w:rsidR="004949D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Aktywny udział w zajęciach</w:t>
            </w:r>
          </w:p>
          <w:p w14:paraId="79ACFC99" w14:textId="77777777" w:rsidR="004949D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Kolokwium (test jednokrotnego wyboru, pytania zamknięte), zaliczenie poprzez uzyskanie min. 51% poprawnych odpowiedzi. </w:t>
            </w:r>
          </w:p>
        </w:tc>
      </w:tr>
      <w:tr w:rsidR="004949DF" w14:paraId="505CAEBE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00FFCAA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Efekty uczenia się </w:t>
            </w:r>
          </w:p>
        </w:tc>
      </w:tr>
      <w:tr w:rsidR="004949DF" w14:paraId="5018E506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EA89694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4A5604A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efektu uczenia się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76BDD63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efektu do efektu kierunkowego</w:t>
            </w:r>
          </w:p>
        </w:tc>
      </w:tr>
      <w:tr w:rsidR="004949DF" w14:paraId="1834C97C" w14:textId="77777777">
        <w:trPr>
          <w:trHeight w:val="285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616EAA6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WYKŁADY</w:t>
            </w:r>
          </w:p>
        </w:tc>
      </w:tr>
      <w:tr w:rsidR="004949DF" w14:paraId="460A8B96" w14:textId="77777777">
        <w:trPr>
          <w:trHeight w:val="546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5218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43777" w14:textId="77777777" w:rsidR="004949D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Posiada pogłębioną i uporządkowaną wiedzę o głównych teoriach osobowości w różnych nurtach psychologii oraz potrafi krytycznie porównywać ich założenia, pojęcia i konsekwencje interpretacyjne dla opisu zachowania człowieka. 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946B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K_W03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K_W05</w:t>
            </w:r>
          </w:p>
        </w:tc>
      </w:tr>
      <w:tr w:rsidR="004949DF" w14:paraId="7A6917B4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9D49B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135A" w14:textId="77777777" w:rsidR="004949D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Potrafi integrować i interpretować biologiczne, społeczne, poznawcze i psychologiczne uwarunkowania kształtowania się osobowości, wskazując zależności między poziomami wyjaśniania oraz ograniczenia wnioskowania w obrębie wybranych ujęć.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943C1" w14:textId="1A4E6084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K_W0</w:t>
            </w:r>
            <w:r w:rsidR="001B25D8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K_W14</w:t>
            </w:r>
          </w:p>
        </w:tc>
      </w:tr>
      <w:tr w:rsidR="004949DF" w14:paraId="4387781B" w14:textId="77777777" w:rsidTr="002F48FC">
        <w:trPr>
          <w:trHeight w:val="285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CBF575E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ĆWICZENIA</w:t>
            </w:r>
          </w:p>
        </w:tc>
      </w:tr>
      <w:tr w:rsidR="004949DF" w14:paraId="5AB49143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7E2C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03A13" w14:textId="77777777" w:rsidR="004949D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Potrafi analizować i charakteryzować zachowanie człowieka na podstawie studiów przypadków/materiału opisowego, odwołując się do wybranych teorii osobowości oraz formułując uzasadnione wnioski.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A772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K_U07</w:t>
            </w:r>
          </w:p>
        </w:tc>
      </w:tr>
      <w:tr w:rsidR="004949DF" w14:paraId="31959EBC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5A7CE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37C54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Potrafi porównywać sposoby rozumienia osobowości w ujęciach historycznych i współczesnych oraz zastosować je do opisu zachowania człowieka, wskazując alternatywne wyjaśnienia i ryzyko nadinterpretacji. 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6AF9" w14:textId="4E9896E3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K_U03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K_U</w:t>
            </w:r>
            <w:r w:rsidR="001B25D8"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</w:tr>
      <w:tr w:rsidR="004949DF" w14:paraId="73A046F4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68B0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1256" w14:textId="77777777" w:rsidR="004949D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Jest gotów do odpowiedzialnego i etycznego wykorzystywania wiedzy o osobowości w analizie funkcjonowania psychicznego i społecznego człowieka, z poszanowaniem złożoności zjawisk oraz ograniczeń wnioskowania.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44461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K_K09</w:t>
            </w:r>
          </w:p>
        </w:tc>
      </w:tr>
      <w:tr w:rsidR="004949DF" w14:paraId="2D447F87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6CEF972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Tabela odniesień efektów uczenia się do celu kształcenia, treści nauczania, metod kształcenia i sposobów oceny</w:t>
            </w:r>
          </w:p>
        </w:tc>
      </w:tr>
      <w:tr w:rsidR="004949DF" w14:paraId="6F4655BF" w14:textId="77777777">
        <w:trPr>
          <w:trHeight w:val="1638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7DD3436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C28D11C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efektu kierunkowego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4EB02AE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celu kształcenia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6D28914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treści kształcenia (nauczania)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5E1A321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metod kształcenia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C3BDAD2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sposobów oceny</w:t>
            </w:r>
          </w:p>
        </w:tc>
      </w:tr>
      <w:tr w:rsidR="004949DF" w14:paraId="67220DDB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467B6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B9D8A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K_W03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K_W05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78AAE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C1,C2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FCFD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W1-W14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97690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64782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P1</w:t>
            </w:r>
          </w:p>
        </w:tc>
      </w:tr>
      <w:tr w:rsidR="004949DF" w14:paraId="5940E97C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A7D47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4C3CB" w14:textId="3E1A4DDF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K_W0</w:t>
            </w:r>
            <w:r w:rsidR="001F53E4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K_W14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802AA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C1,C2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E4E9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W1, W4–W14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9E7A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8945F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P1</w:t>
            </w:r>
          </w:p>
        </w:tc>
      </w:tr>
      <w:tr w:rsidR="004949DF" w14:paraId="079AEFAB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A263F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FD73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K_U07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1852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C4,C5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B8DD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1-</w:t>
            </w:r>
            <w:r>
              <w:rPr>
                <w:rFonts w:ascii="Times New Roman" w:eastAsia="Times New Roman" w:hAnsi="Times New Roman" w:cs="Times New Roman"/>
              </w:rPr>
              <w:t>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2BD2C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Mk2, Mk3, 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FEE04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 F2</w:t>
            </w:r>
          </w:p>
        </w:tc>
      </w:tr>
      <w:tr w:rsidR="004949DF" w14:paraId="763A4F70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1FED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AB8C3" w14:textId="70669118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K_U03, K_U</w:t>
            </w:r>
            <w:r w:rsidR="001F53E4"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EFFBC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C5, C6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A28B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1-</w:t>
            </w:r>
            <w:r>
              <w:rPr>
                <w:rFonts w:ascii="Times New Roman" w:eastAsia="Times New Roman" w:hAnsi="Times New Roman" w:cs="Times New Roman"/>
              </w:rPr>
              <w:t>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980C4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Mk2, Mk3, 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DC9F9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 F2</w:t>
            </w:r>
          </w:p>
        </w:tc>
      </w:tr>
      <w:tr w:rsidR="004949DF" w14:paraId="64F98D8E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670CD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3EB7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K_K09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CEF2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C6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D2EF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1-</w:t>
            </w:r>
            <w:r>
              <w:rPr>
                <w:rFonts w:ascii="Times New Roman" w:eastAsia="Times New Roman" w:hAnsi="Times New Roman" w:cs="Times New Roman"/>
              </w:rPr>
              <w:t>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7FD6E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2404C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</w:t>
            </w:r>
          </w:p>
        </w:tc>
      </w:tr>
      <w:tr w:rsidR="004949DF" w14:paraId="4445E1A9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4B87AA5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Formy zajęć i punkty ECTS</w:t>
            </w:r>
          </w:p>
        </w:tc>
      </w:tr>
      <w:tr w:rsidR="004949DF" w14:paraId="6D4A19AF" w14:textId="77777777">
        <w:trPr>
          <w:trHeight w:val="480"/>
          <w:jc w:val="center"/>
        </w:trPr>
        <w:tc>
          <w:tcPr>
            <w:tcW w:w="33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7EEE271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zajęć</w:t>
            </w:r>
          </w:p>
        </w:tc>
        <w:tc>
          <w:tcPr>
            <w:tcW w:w="37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271DEEB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aktywności studenta</w:t>
            </w:r>
          </w:p>
        </w:tc>
        <w:tc>
          <w:tcPr>
            <w:tcW w:w="2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581BD5A" w14:textId="77777777" w:rsidR="00494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4949DF" w14:paraId="115F6922" w14:textId="77777777">
        <w:trPr>
          <w:trHeight w:val="480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EC82F4E" w14:textId="77777777" w:rsidR="004949DF" w:rsidRDefault="00494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0CBB05B" w14:textId="77777777" w:rsidR="004949DF" w:rsidRDefault="00494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13977E9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4BA125E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niestacjonarnych</w:t>
            </w:r>
          </w:p>
        </w:tc>
      </w:tr>
      <w:tr w:rsidR="004949DF" w14:paraId="156DC227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0EDAF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Wykłady</w:t>
            </w:r>
          </w:p>
        </w:tc>
        <w:tc>
          <w:tcPr>
            <w:tcW w:w="37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B0C1E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Kontakt z nauczycielem akademickim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CC7EB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E674C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</w:tr>
      <w:tr w:rsidR="004949DF" w14:paraId="6DC30060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E0917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96AA" w14:textId="77777777" w:rsidR="004949DF" w:rsidRDefault="00494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3D366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1A927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</w:tr>
      <w:tr w:rsidR="004949DF" w14:paraId="6ADD3600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26074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Seminarium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B2C77" w14:textId="77777777" w:rsidR="004949DF" w:rsidRDefault="00494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5A17B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0B3C3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949DF" w14:paraId="3E18754C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D8913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Praktyka studencka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0671B" w14:textId="77777777" w:rsidR="004949DF" w:rsidRDefault="00494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06268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C0353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949DF" w14:paraId="5D4ECA89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8BF0C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Lektorat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6126B" w14:textId="77777777" w:rsidR="004949DF" w:rsidRDefault="00494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D4B4B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E4D79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949DF" w14:paraId="6896FEA1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CD0B9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012B7" w14:textId="77777777" w:rsidR="004949DF" w:rsidRDefault="00494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AB139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DC122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949DF" w14:paraId="64633F0B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3590F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 monograficzny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C3D83" w14:textId="77777777" w:rsidR="004949DF" w:rsidRDefault="00494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092BF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A8028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949DF" w14:paraId="5AC83293" w14:textId="77777777">
        <w:trPr>
          <w:trHeight w:val="567"/>
          <w:jc w:val="center"/>
        </w:trPr>
        <w:tc>
          <w:tcPr>
            <w:tcW w:w="33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671E5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własna studenta</w:t>
            </w: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C436C" w14:textId="77777777" w:rsidR="004949DF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Czytanie wskazanej literatury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348EB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15289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45</w:t>
            </w:r>
          </w:p>
        </w:tc>
      </w:tr>
      <w:tr w:rsidR="004949DF" w14:paraId="75E132B9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92551" w14:textId="77777777" w:rsidR="004949DF" w:rsidRDefault="00494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96E32" w14:textId="77777777" w:rsidR="004949DF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Rozwiązywanie zadań i problemów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51880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10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9EA61" w14:textId="77777777" w:rsidR="004949D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15</w:t>
            </w:r>
          </w:p>
        </w:tc>
      </w:tr>
      <w:tr w:rsidR="004949DF" w14:paraId="470237CC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3D8D8" w14:textId="77777777" w:rsidR="004949DF" w:rsidRDefault="00494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2B734" w14:textId="77777777" w:rsidR="004949DF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projektu/prezentacji/referatu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B0C79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A5BD8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4949DF" w14:paraId="42D7E382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36E24" w14:textId="77777777" w:rsidR="004949DF" w:rsidRDefault="00494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53D88" w14:textId="77777777" w:rsidR="004949DF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sprawozdania z wykonanych ćwiczeń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67E2B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329D0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4949DF" w14:paraId="31EED8BB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FCEFC" w14:textId="77777777" w:rsidR="004949DF" w:rsidRDefault="00494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494CD" w14:textId="77777777" w:rsidR="004949DF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się do zaliczenia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D7509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F97C9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4949DF" w14:paraId="388AA499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D4830" w14:textId="77777777" w:rsidR="004949DF" w:rsidRDefault="00494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73381" w14:textId="77777777" w:rsidR="004949DF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Przygotowanie się do egzaminu 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F9C14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3784B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949DF" w14:paraId="0D5B9D79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942C5" w14:textId="77777777" w:rsidR="004949DF" w:rsidRDefault="00494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35A74" w14:textId="77777777" w:rsidR="004949DF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Inne (jakie?)………..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1FAA4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951FF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4949DF" w14:paraId="48A1B044" w14:textId="77777777">
        <w:trPr>
          <w:trHeight w:val="567"/>
          <w:jc w:val="center"/>
        </w:trPr>
        <w:tc>
          <w:tcPr>
            <w:tcW w:w="71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EB4EBEC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Sumaryczna liczba godzin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B82B8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29959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125</w:t>
            </w:r>
          </w:p>
        </w:tc>
      </w:tr>
      <w:tr w:rsidR="004949DF" w14:paraId="1E790D0A" w14:textId="77777777">
        <w:trPr>
          <w:trHeight w:val="567"/>
          <w:jc w:val="center"/>
        </w:trPr>
        <w:tc>
          <w:tcPr>
            <w:tcW w:w="71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DF3FEBC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Liczba punktów ECTS</w:t>
            </w:r>
          </w:p>
        </w:tc>
        <w:tc>
          <w:tcPr>
            <w:tcW w:w="2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070EE" w14:textId="77777777" w:rsidR="004949DF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</w:tr>
    </w:tbl>
    <w:p w14:paraId="24F6036A" w14:textId="77777777" w:rsidR="004949DF" w:rsidRDefault="00494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p w14:paraId="0CEDB7A0" w14:textId="77777777" w:rsidR="004949DF" w:rsidRDefault="00494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sectPr w:rsidR="004949DF">
      <w:footerReference w:type="default" r:id="rId9"/>
      <w:footerReference w:type="first" r:id="rId10"/>
      <w:pgSz w:w="11906" w:h="16838"/>
      <w:pgMar w:top="851" w:right="1417" w:bottom="1417" w:left="1417" w:header="72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5FD4E" w14:textId="77777777" w:rsidR="00D1703B" w:rsidRDefault="00D1703B">
      <w:pPr>
        <w:spacing w:after="0" w:line="240" w:lineRule="auto"/>
      </w:pPr>
      <w:r>
        <w:separator/>
      </w:r>
    </w:p>
  </w:endnote>
  <w:endnote w:type="continuationSeparator" w:id="0">
    <w:p w14:paraId="4D1BCC0B" w14:textId="77777777" w:rsidR="00D1703B" w:rsidRDefault="00D17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937EA2FF-09CE-45F1-9ECA-B4D7EB60D8CA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C8E5308-BABB-4341-8D71-22E5358B687E}"/>
    <w:embedBold r:id="rId3" w:fontKey="{1024E4AE-A49C-4888-884F-7E3173FEAC40}"/>
    <w:embedItalic r:id="rId4" w:fontKey="{44A5535B-48A2-4BCE-9804-1AED878AA76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F8C72A3D-C792-4010-A4E6-E849AEDD504E}"/>
    <w:embedBold r:id="rId6" w:fontKey="{B2A66356-DF85-4138-8D65-D5641158F41B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7" w:fontKey="{756C6A54-E8B3-4A0B-A86C-1C9F0D063742}"/>
    <w:embedBold r:id="rId8" w:fontKey="{522BB3C0-751B-4F48-8C19-7DE80EE7BD2E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9" w:fontKey="{151B3B56-CE78-4113-8E9B-496B697AD83E}"/>
    <w:embedItalic r:id="rId10" w:fontKey="{A17448A8-7C8E-4815-A5E5-6D18CE3123BC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1" w:fontKey="{38655336-1A1B-4B33-9EA5-8DF04E6B1B01}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  <w:embedRegular r:id="rId12" w:fontKey="{3BC81224-5221-4FE6-96AC-828044EFA70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3" w:fontKey="{E5817DA2-67A1-46B0-BB6F-DAFD05B5707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EC8AA" w14:textId="77777777" w:rsidR="004949D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2F48FC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3864F8E6" w14:textId="77777777" w:rsidR="004949DF" w:rsidRDefault="004949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E28F0" w14:textId="77777777" w:rsidR="004949DF" w:rsidRDefault="004949D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0817C" w14:textId="77777777" w:rsidR="00D1703B" w:rsidRDefault="00D1703B">
      <w:pPr>
        <w:spacing w:after="0" w:line="240" w:lineRule="auto"/>
      </w:pPr>
      <w:r>
        <w:separator/>
      </w:r>
    </w:p>
  </w:footnote>
  <w:footnote w:type="continuationSeparator" w:id="0">
    <w:p w14:paraId="31C5A338" w14:textId="77777777" w:rsidR="00D1703B" w:rsidRDefault="00D170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A1802"/>
    <w:multiLevelType w:val="multilevel"/>
    <w:tmpl w:val="560EBEA4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FC91601"/>
    <w:multiLevelType w:val="multilevel"/>
    <w:tmpl w:val="A720E0C0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63BE2990"/>
    <w:multiLevelType w:val="multilevel"/>
    <w:tmpl w:val="44E8CB8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646F44CC"/>
    <w:multiLevelType w:val="multilevel"/>
    <w:tmpl w:val="2820DB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687F1D5C"/>
    <w:multiLevelType w:val="multilevel"/>
    <w:tmpl w:val="1132F144"/>
    <w:lvl w:ilvl="0">
      <w:start w:val="1"/>
      <w:numFmt w:val="decimal"/>
      <w:pStyle w:val="CMSHeadL7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78ED7B1D"/>
    <w:multiLevelType w:val="multilevel"/>
    <w:tmpl w:val="C17899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002929530">
    <w:abstractNumId w:val="3"/>
  </w:num>
  <w:num w:numId="2" w16cid:durableId="453988802">
    <w:abstractNumId w:val="5"/>
  </w:num>
  <w:num w:numId="3" w16cid:durableId="1421221224">
    <w:abstractNumId w:val="1"/>
  </w:num>
  <w:num w:numId="4" w16cid:durableId="2046518355">
    <w:abstractNumId w:val="0"/>
  </w:num>
  <w:num w:numId="5" w16cid:durableId="240145466">
    <w:abstractNumId w:val="4"/>
  </w:num>
  <w:num w:numId="6" w16cid:durableId="117622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9DF"/>
    <w:rsid w:val="001B25D8"/>
    <w:rsid w:val="001F53E4"/>
    <w:rsid w:val="002F48FC"/>
    <w:rsid w:val="00432FBF"/>
    <w:rsid w:val="004949DF"/>
    <w:rsid w:val="00D1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DE4C8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  <w:bCs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pPr>
      <w:keepNext/>
      <w:spacing w:after="12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Nagwek8">
    <w:name w:val="heading 8"/>
    <w:pPr>
      <w:spacing w:before="240" w:after="60" w:line="240" w:lineRule="auto"/>
      <w:ind w:leftChars="-1" w:left="-1" w:hangingChars="1" w:hanging="1"/>
      <w:textDirection w:val="btLr"/>
      <w:textAlignment w:val="top"/>
      <w:outlineLvl w:val="7"/>
    </w:pPr>
    <w:rPr>
      <w:rFonts w:ascii="Times New Roman" w:eastAsia="Times New Roman" w:hAnsi="Times New Roman" w:cs="Times New Roman"/>
      <w:i/>
      <w:iCs/>
      <w:position w:val="-1"/>
      <w:sz w:val="24"/>
      <w:szCs w:val="24"/>
      <w:lang w:eastAsia="zh-CN"/>
    </w:rPr>
  </w:style>
  <w:style w:type="paragraph" w:styleId="Nagwek9">
    <w:name w:val="heading 9"/>
    <w:pPr>
      <w:spacing w:before="240" w:after="60" w:line="240" w:lineRule="auto"/>
      <w:ind w:leftChars="-1" w:left="-1" w:hangingChars="1" w:hanging="1"/>
      <w:textDirection w:val="btLr"/>
      <w:textAlignment w:val="top"/>
      <w:outlineLvl w:val="8"/>
    </w:pPr>
    <w:rPr>
      <w:rFonts w:ascii="Arial" w:eastAsia="Times New Roman" w:hAnsi="Arial" w:cs="Arial"/>
      <w:position w:val="-1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3z0">
    <w:name w:val="WW8Num3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Tahoma" w:hAnsi="Tahoma" w:cs="Tahom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0">
    <w:name w:val="WW8Num1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1">
    <w:name w:val="WW8Num18z1"/>
    <w:rPr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1">
    <w:name w:val="WW8Num22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2">
    <w:name w:val="WW8Num22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1">
    <w:name w:val="WW8Num24z1"/>
    <w:rPr>
      <w:rFonts w:ascii="Courier New" w:hAnsi="Courier New" w:cs="Times New Roman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2">
    <w:name w:val="WW8Num2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1">
    <w:name w:val="WW8Num2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2">
    <w:name w:val="WW8Num26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7z0">
    <w:name w:val="WW8Num2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StopkaZnak">
    <w:name w:val="Stopka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Znakiprzypiswdolnych">
    <w:name w:val="Znaki przypisów doln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eltit1">
    <w:name w:val="eltit1"/>
    <w:rPr>
      <w:rFonts w:ascii="Verdana" w:hAnsi="Verdana" w:cs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Znakiprzypiswkocowych">
    <w:name w:val="Znaki przypisów końcow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h11">
    <w:name w:val="h11"/>
    <w:rPr>
      <w:rFonts w:ascii="Verdana" w:hAnsi="Verdana" w:cs="Verdana" w:hint="default"/>
      <w:b/>
      <w:bCs/>
      <w:i w:val="0"/>
      <w:iCs w:val="0"/>
      <w:w w:val="100"/>
      <w:position w:val="-1"/>
      <w:sz w:val="23"/>
      <w:szCs w:val="23"/>
      <w:effect w:val="none"/>
      <w:vertAlign w:val="baseline"/>
      <w:cs w:val="0"/>
      <w:em w:val="none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bidi="ar-SA"/>
    </w:rPr>
  </w:style>
  <w:style w:type="paragraph" w:styleId="Nagwek">
    <w:name w:val="header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odstawowy">
    <w:name w:val="Body Text"/>
    <w:pPr>
      <w:tabs>
        <w:tab w:val="left" w:pos="900"/>
      </w:tabs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Lista">
    <w:name w:val="List"/>
    <w:pPr>
      <w:spacing w:after="0" w:line="240" w:lineRule="auto"/>
      <w:ind w:leftChars="-1" w:left="283" w:hangingChars="1" w:hanging="283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egenda">
    <w:name w:val="caption"/>
    <w:pPr>
      <w:suppressLineNumbers/>
      <w:spacing w:before="120" w:after="120"/>
      <w:ind w:leftChars="-1" w:left="-1" w:hangingChars="1" w:hanging="1"/>
      <w:textDirection w:val="btLr"/>
      <w:textAlignment w:val="top"/>
      <w:outlineLvl w:val="0"/>
    </w:pPr>
    <w:rPr>
      <w:rFonts w:cs="Lucida Sans"/>
      <w:i/>
      <w:iCs/>
      <w:position w:val="-1"/>
      <w:sz w:val="24"/>
      <w:szCs w:val="24"/>
      <w:lang w:val="pl-PL" w:eastAsia="zh-CN"/>
    </w:rPr>
  </w:style>
  <w:style w:type="paragraph" w:customStyle="1" w:styleId="Indeks">
    <w:name w:val="Indeks"/>
    <w:pPr>
      <w:suppressLineNumbers/>
      <w:ind w:leftChars="-1" w:left="-1" w:hangingChars="1" w:hanging="1"/>
      <w:textDirection w:val="btLr"/>
      <w:textAlignment w:val="top"/>
      <w:outlineLvl w:val="0"/>
    </w:pPr>
    <w:rPr>
      <w:rFonts w:cs="Lucida Sans"/>
      <w:position w:val="-1"/>
      <w:lang w:val="pl-PL" w:eastAsia="zh-CN"/>
    </w:rPr>
  </w:style>
  <w:style w:type="paragraph" w:customStyle="1" w:styleId="Gwkaistopka">
    <w:name w:val="Główka i stopka"/>
    <w:pPr>
      <w:suppressLineNumbers/>
      <w:tabs>
        <w:tab w:val="center" w:pos="4819"/>
        <w:tab w:val="right" w:pos="9638"/>
      </w:tabs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styleId="Stopka">
    <w:name w:val="footer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rzypisudolnego">
    <w:name w:val="footnote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przypisukocowego">
    <w:name w:val="endnote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komentarza">
    <w:name w:val="annotatio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Tekstdymka">
    <w:name w:val="Balloo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eastAsia="Times New Roman" w:hAnsi="Tahoma" w:cs="Tahoma"/>
      <w:position w:val="-1"/>
      <w:sz w:val="16"/>
      <w:szCs w:val="16"/>
      <w:lang w:eastAsia="zh-CN"/>
    </w:rPr>
  </w:style>
  <w:style w:type="paragraph" w:styleId="Tekstpodstawowy2">
    <w:name w:val="Body Text 2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Cs w:val="24"/>
      <w:lang w:eastAsia="zh-CN"/>
    </w:rPr>
  </w:style>
  <w:style w:type="paragraph" w:styleId="Tekstpodstawowywcity">
    <w:name w:val="Body Text Indent"/>
    <w:pPr>
      <w:tabs>
        <w:tab w:val="left" w:pos="180"/>
        <w:tab w:val="left" w:pos="540"/>
      </w:tabs>
      <w:spacing w:after="120" w:line="360" w:lineRule="auto"/>
      <w:ind w:leftChars="-1" w:left="540" w:hangingChars="1" w:hanging="180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lang w:eastAsia="zh-CN"/>
    </w:rPr>
  </w:style>
  <w:style w:type="paragraph" w:styleId="Tekstpodstawowywcity3">
    <w:name w:val="Body Text Indent 3"/>
    <w:pPr>
      <w:spacing w:after="120" w:line="24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6"/>
      <w:szCs w:val="16"/>
      <w:lang w:eastAsia="zh-CN"/>
    </w:rPr>
  </w:style>
  <w:style w:type="paragraph" w:styleId="Tekstpodstawowywcity2">
    <w:name w:val="Body Text Indent 2"/>
    <w:pPr>
      <w:spacing w:after="120" w:line="48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customStyle="1" w:styleId="BodyText22">
    <w:name w:val="Body Text 22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Tekstpodstawowy3">
    <w:name w:val="Body Text 3"/>
    <w:pPr>
      <w:tabs>
        <w:tab w:val="left" w:pos="180"/>
      </w:tabs>
      <w:spacing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Zwykytekst">
    <w:name w:val="Plai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 w:cs="Courier New"/>
      <w:position w:val="-1"/>
      <w:sz w:val="20"/>
      <w:szCs w:val="20"/>
      <w:lang w:eastAsia="zh-CN"/>
    </w:rPr>
  </w:style>
  <w:style w:type="paragraph" w:customStyle="1" w:styleId="font6">
    <w:name w:val="font6"/>
    <w:pPr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 w:cs="Times New Roman"/>
      <w:position w:val="-1"/>
      <w:sz w:val="20"/>
      <w:szCs w:val="20"/>
      <w:lang w:val="pl-PL" w:eastAsia="zh-CN"/>
    </w:rPr>
  </w:style>
  <w:style w:type="paragraph" w:customStyle="1" w:styleId="BodyText31">
    <w:name w:val="Body Text 31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 w:eastAsia="zh-CN"/>
    </w:rPr>
  </w:style>
  <w:style w:type="paragraph" w:customStyle="1" w:styleId="BodyText21">
    <w:name w:val="Body Text 21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NormalnyWeb">
    <w:name w:val="Normal (Web)"/>
    <w:uiPriority w:val="99"/>
    <w:pPr>
      <w:spacing w:before="280" w:after="28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xl33">
    <w:name w:val="xl33"/>
    <w:pPr>
      <w:autoSpaceDE w:val="0"/>
      <w:spacing w:before="100" w:after="100" w:line="24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customStyle="1" w:styleId="Pisma">
    <w:name w:val="Pisma"/>
    <w:pPr>
      <w:autoSpaceDE w:val="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styleId="Spistreci1">
    <w:name w:val="toc 1"/>
    <w:pPr>
      <w:spacing w:before="12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caps/>
      <w:position w:val="-1"/>
      <w:sz w:val="20"/>
      <w:szCs w:val="20"/>
      <w:lang w:val="pl-PL" w:eastAsia="zh-CN"/>
    </w:rPr>
  </w:style>
  <w:style w:type="paragraph" w:styleId="Spistreci2">
    <w:name w:val="toc 2"/>
    <w:pPr>
      <w:spacing w:after="0" w:line="240" w:lineRule="auto"/>
      <w:ind w:leftChars="-1" w:left="2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smallCaps/>
      <w:position w:val="-1"/>
      <w:sz w:val="20"/>
      <w:szCs w:val="20"/>
      <w:lang w:val="pl-PL" w:eastAsia="zh-CN"/>
    </w:rPr>
  </w:style>
  <w:style w:type="paragraph" w:styleId="Spistreci3">
    <w:name w:val="toc 3"/>
    <w:pPr>
      <w:tabs>
        <w:tab w:val="right" w:leader="dot" w:pos="9062"/>
      </w:tabs>
      <w:spacing w:after="0" w:line="240" w:lineRule="auto"/>
      <w:ind w:leftChars="-1" w:left="4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i/>
      <w:iCs/>
      <w:position w:val="-1"/>
      <w:sz w:val="20"/>
      <w:szCs w:val="20"/>
    </w:rPr>
  </w:style>
  <w:style w:type="paragraph" w:styleId="Spistreci4">
    <w:name w:val="toc 4"/>
    <w:pPr>
      <w:tabs>
        <w:tab w:val="right" w:leader="dot" w:pos="9062"/>
      </w:tabs>
      <w:spacing w:after="0" w:line="240" w:lineRule="auto"/>
      <w:ind w:leftChars="-1" w:left="7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</w:rPr>
  </w:style>
  <w:style w:type="paragraph" w:styleId="Spistreci5">
    <w:name w:val="toc 5"/>
    <w:pPr>
      <w:spacing w:after="0" w:line="240" w:lineRule="auto"/>
      <w:ind w:leftChars="-1" w:left="96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6">
    <w:name w:val="toc 6"/>
    <w:pPr>
      <w:spacing w:after="0" w:line="240" w:lineRule="auto"/>
      <w:ind w:leftChars="-1" w:left="120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7">
    <w:name w:val="toc 7"/>
    <w:pPr>
      <w:spacing w:after="0" w:line="240" w:lineRule="auto"/>
      <w:ind w:leftChars="-1" w:left="14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8">
    <w:name w:val="toc 8"/>
    <w:pPr>
      <w:spacing w:after="0" w:line="240" w:lineRule="auto"/>
      <w:ind w:leftChars="-1" w:left="16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9">
    <w:name w:val="toc 9"/>
    <w:pPr>
      <w:spacing w:after="0" w:line="240" w:lineRule="auto"/>
      <w:ind w:leftChars="-1" w:left="19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customStyle="1" w:styleId="Tytuowa1">
    <w:name w:val="Tytułowa 1"/>
    <w:basedOn w:val="Nagwek"/>
    <w:pPr>
      <w:spacing w:before="240" w:after="60" w:line="360" w:lineRule="auto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Listapunktowana2">
    <w:name w:val="List Bullet 2"/>
    <w:pPr>
      <w:tabs>
        <w:tab w:val="left" w:pos="643"/>
      </w:tabs>
      <w:spacing w:after="0" w:line="240" w:lineRule="auto"/>
      <w:ind w:leftChars="-1" w:left="643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3">
    <w:name w:val="List Bullet 3"/>
    <w:pPr>
      <w:tabs>
        <w:tab w:val="left" w:pos="926"/>
      </w:tabs>
      <w:spacing w:after="0" w:line="240" w:lineRule="auto"/>
      <w:ind w:leftChars="-1" w:left="926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">
    <w:name w:val="List Bullet"/>
    <w:pPr>
      <w:tabs>
        <w:tab w:val="left" w:pos="360"/>
      </w:tabs>
      <w:spacing w:after="0" w:line="240" w:lineRule="auto"/>
      <w:ind w:leftChars="-1" w:left="360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left="0" w:firstLine="210"/>
      <w:jc w:val="left"/>
    </w:p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pPr>
      <w:autoSpaceDE w:val="0"/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0"/>
      <w:szCs w:val="24"/>
      <w:lang w:val="pl-PL" w:eastAsia="zh-CN"/>
    </w:rPr>
  </w:style>
  <w:style w:type="paragraph" w:customStyle="1" w:styleId="Text">
    <w:name w:val="Text"/>
    <w:pPr>
      <w:spacing w:after="24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en-US" w:eastAsia="zh-CN"/>
    </w:rPr>
  </w:style>
  <w:style w:type="paragraph" w:customStyle="1" w:styleId="ust">
    <w:name w:val="ust"/>
    <w:pPr>
      <w:overflowPunct w:val="0"/>
      <w:autoSpaceDE w:val="0"/>
      <w:spacing w:before="60" w:after="60" w:line="240" w:lineRule="auto"/>
      <w:ind w:leftChars="-1" w:left="426" w:hangingChars="1" w:hanging="284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pkt">
    <w:name w:val="pkt"/>
    <w:pPr>
      <w:overflowPunct w:val="0"/>
      <w:autoSpaceDE w:val="0"/>
      <w:spacing w:before="60" w:after="60" w:line="240" w:lineRule="auto"/>
      <w:ind w:leftChars="-1" w:left="851" w:hangingChars="1" w:hanging="295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tekst">
    <w:name w:val="tekst"/>
    <w:pPr>
      <w:suppressLineNumbers/>
      <w:overflowPunct w:val="0"/>
      <w:autoSpaceDE w:val="0"/>
      <w:spacing w:before="60" w:after="6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customStyle="1" w:styleId="ZnakZnakZnakZnak">
    <w:name w:val="Znak Znak Znak Znak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/>
    </w:rPr>
  </w:style>
  <w:style w:type="paragraph" w:customStyle="1" w:styleId="Teksttreci20">
    <w:name w:val="Tekst treści (2)"/>
    <w:pPr>
      <w:widowControl w:val="0"/>
      <w:shd w:val="clear" w:color="auto" w:fill="FFFFFF"/>
      <w:spacing w:after="0" w:line="624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cs="Times New Roman"/>
      <w:b/>
      <w:bCs/>
      <w:position w:val="-1"/>
      <w:lang w:eastAsia="zh-CN"/>
    </w:rPr>
  </w:style>
  <w:style w:type="paragraph" w:styleId="Poprawka">
    <w:name w:val="Revision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ZnakZnak">
    <w:name w:val="Znak Znak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Times New Roman" w:hAnsi="Verdana" w:cs="Verdana"/>
      <w:position w:val="-1"/>
      <w:sz w:val="20"/>
      <w:szCs w:val="20"/>
      <w:lang w:val="pl-PL" w:eastAsia="zh-CN"/>
    </w:rPr>
  </w:style>
  <w:style w:type="paragraph" w:styleId="Akapitzlist">
    <w:name w:val="List Paragraph"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CM1">
    <w:name w:val="CM1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CM3">
    <w:name w:val="CM3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Default">
    <w:name w:val="Default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 w:eastAsia="zh-CN"/>
    </w:rPr>
  </w:style>
  <w:style w:type="paragraph" w:customStyle="1" w:styleId="CMSHeadL7">
    <w:name w:val="CMS Head L7"/>
    <w:pPr>
      <w:numPr>
        <w:numId w:val="5"/>
      </w:numPr>
      <w:spacing w:after="24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position w:val="-1"/>
      <w:szCs w:val="24"/>
      <w:lang w:val="en-GB" w:eastAsia="zh-CN"/>
    </w:rPr>
  </w:style>
  <w:style w:type="paragraph" w:customStyle="1" w:styleId="Akapitbezwcicia">
    <w:name w:val="Akapit bez wcięcia"/>
    <w:pPr>
      <w:spacing w:after="0" w:line="38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Georgia" w:eastAsia="Times New Roman" w:hAnsi="Georgia" w:cs="Georgia"/>
      <w:position w:val="-1"/>
      <w:sz w:val="26"/>
      <w:szCs w:val="28"/>
      <w:lang w:val="pl-PL" w:eastAsia="zh-CN"/>
    </w:rPr>
  </w:style>
  <w:style w:type="paragraph" w:customStyle="1" w:styleId="Bodytext20">
    <w:name w:val="Body text (2)"/>
    <w:pPr>
      <w:widowControl w:val="0"/>
      <w:shd w:val="clear" w:color="auto" w:fill="FFFFFF"/>
      <w:spacing w:after="0" w:line="0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b/>
      <w:bCs/>
      <w:position w:val="-1"/>
      <w:sz w:val="16"/>
      <w:szCs w:val="16"/>
      <w:lang w:eastAsia="zh-CN"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Tekstpodstawowy21">
    <w:name w:val="Tekst podstawowy 21"/>
    <w:pPr>
      <w:spacing w:after="0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hAnsi="Times New Roman" w:cs="Times New Roman"/>
      <w:b/>
      <w:bCs/>
      <w:position w:val="-1"/>
      <w:lang w:val="pl-PL" w:eastAsia="zh-CN"/>
    </w:rPr>
  </w:style>
  <w:style w:type="paragraph" w:styleId="Bezodstpw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Akapitzlist1">
    <w:name w:val="Akapit z listą1"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Zawartotabeli">
    <w:name w:val="Zawartość tabeli"/>
    <w:pPr>
      <w:widowControl w:val="0"/>
      <w:suppressLineNumbers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D07DFE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uiPriority w:val="11"/>
    <w:qFormat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ahoma" w:hAnsi="Tahoma" w:cs="Tahoma"/>
      <w:b/>
      <w:bCs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jjV0y4Klq+Ql7UU3sCEKOm8SMA==">CgMxLjA4AHIhMVFBOXotMm10Ym9FcFZ4cDdHZFkzb0c0Qzd2U3Y4Nms3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1847</Words>
  <Characters>11083</Characters>
  <Application>Microsoft Office Word</Application>
  <DocSecurity>0</DocSecurity>
  <Lines>92</Lines>
  <Paragraphs>25</Paragraphs>
  <ScaleCrop>false</ScaleCrop>
  <Company/>
  <LinksUpToDate>false</LinksUpToDate>
  <CharactersWithSpaces>12905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Adamczyk</dc:creator>
  <cp:lastModifiedBy>Jakub Seiffert</cp:lastModifiedBy>
  <cp:revision>4</cp:revision>
  <dcterms:created xsi:type="dcterms:W3CDTF">2026-03-11T21:22:00Z</dcterms:created>
  <dcterms:modified xsi:type="dcterms:W3CDTF">2026-03-11T21:25:00Z</dcterms:modified>
</cp:coreProperties>
</file>