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22AEB" w14:textId="77777777" w:rsidR="002056E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07C32DCA" wp14:editId="65C040FF">
            <wp:simplePos x="0" y="0"/>
            <wp:positionH relativeFrom="column">
              <wp:posOffset>-400048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555217" w14:textId="77777777" w:rsidR="002056E7" w:rsidRDefault="002056E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344"/>
        <w:gridCol w:w="483"/>
        <w:gridCol w:w="979"/>
        <w:gridCol w:w="33"/>
        <w:gridCol w:w="1292"/>
      </w:tblGrid>
      <w:tr w:rsidR="002056E7" w14:paraId="1F6B8BE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B3AF23A" w14:textId="77777777" w:rsidR="002056E7" w:rsidRDefault="00000000">
            <w:pPr>
              <w:pStyle w:val="Nagwek2"/>
              <w:spacing w:line="276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2056E7" w14:paraId="5F40B16A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E36FB0" w14:textId="77777777" w:rsidR="002056E7" w:rsidRDefault="00000000">
            <w:pPr>
              <w:pStyle w:val="Nagwek2"/>
              <w:spacing w:line="276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2056E7" w14:paraId="4935A6A4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20B9" w14:textId="77777777" w:rsidR="002056E7" w:rsidRDefault="00000000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44A7" w14:textId="77777777" w:rsidR="002056E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Wykłady, Ćwiczenia</w:t>
            </w:r>
          </w:p>
        </w:tc>
      </w:tr>
      <w:tr w:rsidR="002056E7" w14:paraId="75183A7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6B19A" w14:textId="77777777" w:rsidR="002056E7" w:rsidRDefault="00000000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2056E7" w14:paraId="391E724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8336" w14:textId="77777777" w:rsidR="002056E7" w:rsidRDefault="0000000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2056E7" w14:paraId="729391D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E874" w14:textId="77777777" w:rsidR="002056E7" w:rsidRDefault="0000000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506CA21A" w14:textId="77777777" w:rsidR="002056E7" w:rsidRDefault="0000000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2056E7" w14:paraId="691ED916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224FC3FF" w14:textId="77777777" w:rsidR="002056E7" w:rsidRDefault="0000000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PSYCHOLOGIA OGÓLNA: PROCESY POZNAWCZE</w:t>
            </w:r>
          </w:p>
        </w:tc>
      </w:tr>
      <w:tr w:rsidR="002056E7" w14:paraId="649622F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B1DD2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1133F2A9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10F0EA0E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i uporządkowanie wiedzy z zakresu psychologii poznawczej, obejmującej kluczowe pojęcia, teorie i metody badawcze oraz ich znaczenie dla wyjaśniania złożonych zjawisk poznawczych.</w:t>
            </w:r>
          </w:p>
          <w:p w14:paraId="054FD875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analiza prawidłowości ludzkiego funkcjonowania poznawczego (m.in. spostrzegania, uwagi, pamięci, myślenia), z uwzględnieniem ograniczeń modeli wyjaśniających oraz warunków, w których te prawidłowości ulegają zmianie.</w:t>
            </w:r>
          </w:p>
          <w:p w14:paraId="632FAAE9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Integracja wiedzy o mechanizmach poznawczych z wynikami badań empirycznych w celu interpretacji zachowania oraz formułowania uzasadnionych wniosków dotyczących funkcjonowania człowieka w różnych kontekstach (np. edukacyjnym, społecznym, medialnym).</w:t>
            </w:r>
          </w:p>
          <w:p w14:paraId="36BCA581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kompetencji krytycznej interpretacji wyników badań z zakresu psychologii poznawczej oraz analizy ich implikacji praktycznych dla rozwiązywania problemów funkcjonowania poznawczego (np. zaburzeń uwagi) i projektowania przekazów/komunikatów medialnych, z uwzględnieniem ograniczeń metodologicznych i granic wnioskowania.</w:t>
            </w:r>
          </w:p>
          <w:p w14:paraId="7E261F2D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1786EEF8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C5 </w:t>
            </w:r>
            <w:r>
              <w:rPr>
                <w:rFonts w:ascii="Times New Roman" w:eastAsia="Times New Roman" w:hAnsi="Times New Roman" w:cs="Times New Roman"/>
              </w:rPr>
              <w:t>Rozwinięcie umiejętności projektowania i przeprowadzania prostych badań/eksperymentów w obszarze psychologii poznawczej, obejmujących dobór procedury, pozyskanie danych oraz ich wstępną analizę z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uwzględnieniem rzetelności procedury i zasad etycznych.</w:t>
            </w:r>
          </w:p>
          <w:p w14:paraId="2E8A700B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C6 </w:t>
            </w:r>
            <w:r>
              <w:rPr>
                <w:rFonts w:ascii="Times New Roman" w:eastAsia="Times New Roman" w:hAnsi="Times New Roman" w:cs="Times New Roman"/>
              </w:rPr>
              <w:t>Doskonalenie umiejętności krytycznej analizy i interpretacji wyników badań dotyczących procesów poznawczych, z uwzględnieniem jakości danych, ograniczeń metodologicznych oraz alternatywnych wyjaśnień.</w:t>
            </w:r>
          </w:p>
          <w:p w14:paraId="0FF92892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C7</w:t>
            </w:r>
            <w:r>
              <w:rPr>
                <w:rFonts w:ascii="Times New Roman" w:eastAsia="Times New Roman" w:hAnsi="Times New Roman" w:cs="Times New Roman"/>
              </w:rPr>
              <w:t xml:space="preserve"> Kształtowanie umiejętności zastosowania wiedzy z psychologii poznawczej do rozwiązywania problemów praktycznych (np. rozumienie zaburzeń uwagi, projektowanie przekazów medialnych/komunikatów), wraz z formułowaniem uzasadnionych rekomendacji i oceną ich ograniczeń.</w:t>
            </w:r>
          </w:p>
        </w:tc>
      </w:tr>
      <w:tr w:rsidR="002056E7" w14:paraId="08E1F71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FA80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2056E7" w14:paraId="10E5EC1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1DBB1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</w:rPr>
              <w:t>Umiejętność posługiwania się terminologią psychologiczną w zakresie niezbędnym do analizy zagadnień psychologii poznawczej.</w:t>
            </w:r>
          </w:p>
        </w:tc>
      </w:tr>
      <w:tr w:rsidR="002056E7" w14:paraId="290FBC5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2F0D" w14:textId="77777777" w:rsidR="002056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527FEE9F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 problemowy z technikami multimedialnymi (prezentacje multimedialne, materiały audio-wideo, schematy/infografiki procesów poznawczych, slajdy z przykładami z badań).</w:t>
            </w:r>
          </w:p>
          <w:p w14:paraId="10F22EFE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moderowana / analiza problemowa (pytania problemowe, studia przypadków/opisy zjawisk poznawczych, krótkie teksty do dyskusji, fragmenty raportów z badań).</w:t>
            </w:r>
          </w:p>
          <w:p w14:paraId="360188F6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Krytyczna analiza literatury przedmiotu (rozdziały podręczników, artykuły recenzowane, bazy danych/bibliograficzne, materiały dydaktyczne przygotowane przez prowadzącego).</w:t>
            </w:r>
          </w:p>
          <w:p w14:paraId="73F0122A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Ćwiczenia praktyczne – projektowanie i realizacja eksperymentu + opracowanie wyników (karty pracy, arkusze do zbierania danych, instrukcje procedury badawczej, zestawy danych, proste narzędzia do analizy wyników – np. arkusz kalkulacyjny).</w:t>
            </w:r>
          </w:p>
          <w:p w14:paraId="5BF5DC6D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 (Pd):</w:t>
            </w:r>
          </w:p>
          <w:p w14:paraId="02163584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oraz materiały audio-wideo (animacje, krótkie nagrania demonstracyjne zjawisk poznawczych).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Teksty źródłowe do pracy na zajęciach (rozdziały podręczników, artykuły recenzowane, opisy badań i studia przypadków).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Materiały do ćwiczeń i analizy danych (karty pracy, arkusze zbierania danych, zestawy danych, arkusz kalkulacyjny do obliczeń i wizualizacji wyników).</w:t>
            </w:r>
          </w:p>
        </w:tc>
      </w:tr>
      <w:tr w:rsidR="002056E7" w14:paraId="658201D7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BB9B9C3" w14:textId="77777777" w:rsidR="002056E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7F18625A" w14:textId="77777777" w:rsidR="002056E7" w:rsidRDefault="00205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2056E7" w14:paraId="42570611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8BB8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WYKŁADY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(W):</w:t>
            </w:r>
          </w:p>
          <w:p w14:paraId="1C35D9ED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Narodziny i rozwój psychologii poznawczej: przedmiot badań, kluczowe założenia oraz współczesne obszary zastosowań; relacje z innymi subdyscyplinami psychologii.</w:t>
            </w:r>
          </w:p>
          <w:p w14:paraId="58F628E5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Kluczowe problemy psychologii poznawczej: pytania badawcze, modele wyjaśniania oraz ograniczenia interpretacyjne (granice uogólniania wyników, rola kontekstu).</w:t>
            </w:r>
          </w:p>
          <w:p w14:paraId="768BC430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Reprezentacje umysłowe: definicje, typy i sposoby operacjonalizacji; krytyczna analiza wybranych koncepcji reprezentacji i ich konsekwencji dla wyjaśniania zachowania.</w:t>
            </w:r>
          </w:p>
          <w:p w14:paraId="6AF24DF6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Świadomość i procesy nieświadome: porównanie podejść teoretycznych, rozróżnienia pojęciowe oraz krytyczna interpretacja danych empirycznych dotyczących nieświadomego przetwarzania informacji.</w:t>
            </w:r>
          </w:p>
          <w:p w14:paraId="6CA5BF31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Uwaga: modele i mechanizmy selekcji; typy uwagi oraz czynniki warunkujące jej efektywność; ograniczenia kontroli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uwagowej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konsekwencje dla funkcjonowania w zadaniach złożonych.</w:t>
            </w:r>
          </w:p>
          <w:p w14:paraId="2DA49923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Procesy spostrzegania: mechanizmy organizacji percepcji, rola oczekiwań i kontekstu; interpretacja zjawisk percepcyjnych w świetle danych empirycznych i modeli teoretycznych.</w:t>
            </w:r>
          </w:p>
          <w:p w14:paraId="1E93A191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Pamięć: przegląd i krytyczne porównanie modeli pamięci (struktura i funkcje), wraz z oceną ich mocy wyjaśniającej w odniesieniu do wyników badań.</w:t>
            </w:r>
          </w:p>
          <w:p w14:paraId="20AA06F4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Mechanizmy pamięci i uczenia się: kodowanie, przechowywanie, wydobywanie; czynniki wzmacniające i osłabiające uczenie się; interpretacja efektów eksperymentalnych i ograniczenia wnioskowania.</w:t>
            </w:r>
          </w:p>
          <w:p w14:paraId="35D978DC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Operacje umysłowe i myślenie: procesy wnioskowania, rozwiązywania problemów i tworzenia pojęć; analiza roli heurystyk oraz błędów poznawczych w zadaniach decyzyjnych.</w:t>
            </w:r>
          </w:p>
          <w:p w14:paraId="72FE6EEE" w14:textId="77777777" w:rsidR="002056E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Struktury wiedzy: schematy, skrypty i sieci semantyczne; rola wiedzy w rozumieniu, pamięci i podejmowaniu decyzji; implikacje dla uczenia się i komunikacji.</w:t>
            </w:r>
          </w:p>
          <w:p w14:paraId="25F28697" w14:textId="77777777" w:rsidR="002056E7" w:rsidRDefault="00205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4221882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ĆWICZENIA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(Ć):</w:t>
            </w:r>
          </w:p>
          <w:p w14:paraId="0B132246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Wprowadzenie: potoczne a naukowe rozumienie poznania; kryteria wyjaśniania naukowego w psychologii poznawczej oraz analiza konsekwencji błędów intuicyjnych w interpretacji zachowania.</w:t>
            </w:r>
          </w:p>
          <w:p w14:paraId="7816923F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Procesy automatyczne i kontrolowane: analiza przykładów z życia i badań; identyfikacja warunków przełączania między trybami przetwarzania oraz granic kontroli poznawczej.</w:t>
            </w:r>
          </w:p>
          <w:p w14:paraId="14F56B48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Mechanizmy uwagi i możliwości jej regulacji: analiza zadań i wyników badań (np. selekcja, podzielność uwagi); identyfikacja czynników zakłócających oraz ocena realistycznych możliwości treningu/kompensacji.</w:t>
            </w:r>
          </w:p>
          <w:p w14:paraId="26216E51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Język: funkcje i rola w procesach poznawczych; związki języka z myśleniem — krytyczne porównanie stanowisk i ich konsekwencji dla interpretacji zachowania.</w:t>
            </w:r>
          </w:p>
          <w:p w14:paraId="6B91E600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Uczenie się w codzienności: pamięć autobiograficzna i jej mechanizmy; analiza czynników zniekształcających wspomnienia oraz konsekwencji dla wiarygodności relacji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samoopisu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7318044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Podejmowanie decyzji: udział procesów poznawczych i afektywnych; analiza przykładów i wyników badań, identyfikacja heurystyk oraz krytyczna ocena ich adaptacyjności w zależności od kontekstu.</w:t>
            </w:r>
          </w:p>
          <w:p w14:paraId="21128AB2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Twórczość: teorie i ujęcia wyjaśniające; analiza warunków wspierających i hamujących twórcze myślenie oraz krytyczna ocena popularnych mitów o kreatywności na tle danych empirycznych.</w:t>
            </w:r>
          </w:p>
          <w:p w14:paraId="5F5F87E8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Inteligencja a wiedza; myślenie a rozumienie: analiza różnic pojęciowych i konsekwencji dla interpretacji osiągnięć, uczenia się oraz funkcjonowania w sytuacjach złożonych.</w:t>
            </w:r>
          </w:p>
          <w:p w14:paraId="6EEDC6CA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Metody badania sprawności poznawczej: przegląd podejść i narzędzi; kryteria jakości pomiaru i ograniczenia interpretacji; dobór metody do pytania badawczego i kontekstu.</w:t>
            </w:r>
          </w:p>
          <w:p w14:paraId="32F028B9" w14:textId="77777777" w:rsidR="002056E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Zastosowania wiedzy o procesach poznawczych: aplikacje w psychologii transportu (uwaga, obciążenie poznawcze, podejmowanie decyzji); analiza problemów praktycznych i formułowanie uzasadnionych rekomendacji z uwzględnieniem ograniczeń.</w:t>
            </w:r>
          </w:p>
        </w:tc>
      </w:tr>
      <w:tr w:rsidR="002056E7" w14:paraId="1CE7A82E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913F" w14:textId="77777777" w:rsidR="002056E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podstawowa:</w:t>
            </w:r>
          </w:p>
          <w:p w14:paraId="0820D3EA" w14:textId="77777777" w:rsidR="002056E7" w:rsidRDefault="00000000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Nęcka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E., Orzechowski, J., &amp; Szymura, B. (2019).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poznawcza</w:t>
            </w:r>
            <w:r>
              <w:rPr>
                <w:rFonts w:ascii="Times New Roman" w:eastAsia="Times New Roman" w:hAnsi="Times New Roman" w:cs="Times New Roman"/>
              </w:rPr>
              <w:t>. Wydawnictwo Naukowe PWN. (Zakres: s. 21–91, 167–210, 259–392, 566–600)</w:t>
            </w:r>
          </w:p>
          <w:p w14:paraId="6E6E6A0F" w14:textId="77777777" w:rsidR="002056E7" w:rsidRDefault="00000000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351"/>
              <w:rPr>
                <w:rFonts w:ascii="Times New Roman" w:eastAsia="Times New Roman" w:hAnsi="Times New Roman" w:cs="Times New Roman"/>
              </w:rPr>
            </w:pPr>
            <w:r w:rsidRPr="007009DF">
              <w:rPr>
                <w:rFonts w:ascii="Times New Roman" w:eastAsia="Times New Roman" w:hAnsi="Times New Roman" w:cs="Times New Roman"/>
                <w:lang w:val="en-US"/>
              </w:rPr>
              <w:t xml:space="preserve">Eysenck, M. W., &amp; Keane, M. T. (2020). </w:t>
            </w:r>
            <w:r w:rsidRPr="007009D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Cognitive psychology: A student’s handbook</w:t>
            </w:r>
            <w:r w:rsidRPr="007009DF">
              <w:rPr>
                <w:rFonts w:ascii="Times New Roman" w:eastAsia="Times New Roman" w:hAnsi="Times New Roman" w:cs="Times New Roman"/>
                <w:lang w:val="en-US"/>
              </w:rPr>
              <w:t xml:space="preserve"> (8th ed.).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Routledge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(Zakres: pp. 1–39, 178–236, 239–343, 767–800)</w:t>
            </w:r>
          </w:p>
        </w:tc>
      </w:tr>
      <w:tr w:rsidR="002056E7" w14:paraId="41489A1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A162" w14:textId="77777777" w:rsidR="002056E7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6ADB210A" w14:textId="77777777" w:rsidR="002056E7" w:rsidRDefault="00000000">
            <w:pPr>
              <w:numPr>
                <w:ilvl w:val="0"/>
                <w:numId w:val="2"/>
              </w:numPr>
              <w:tabs>
                <w:tab w:val="left" w:pos="180"/>
                <w:tab w:val="left" w:pos="540"/>
              </w:tabs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Gazzaniga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M. S.,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Ivry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R. B.,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Mangun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G. R. (2019). </w:t>
            </w:r>
            <w:r w:rsidRPr="007009D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Cognitive neuroscience: The biology of mind</w:t>
            </w:r>
            <w:r w:rsidRPr="007009DF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W. W. Norton &amp; Company.</w:t>
            </w:r>
          </w:p>
          <w:p w14:paraId="738F60F5" w14:textId="77777777" w:rsidR="002056E7" w:rsidRDefault="00000000">
            <w:pPr>
              <w:numPr>
                <w:ilvl w:val="0"/>
                <w:numId w:val="2"/>
              </w:numPr>
              <w:tabs>
                <w:tab w:val="left" w:pos="180"/>
                <w:tab w:val="left" w:pos="540"/>
              </w:tabs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Maruszewski, T. (2005).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Pamięć autobiograficzna</w:t>
            </w:r>
            <w:r>
              <w:rPr>
                <w:rFonts w:ascii="Times New Roman" w:eastAsia="Times New Roman" w:hAnsi="Times New Roman" w:cs="Times New Roman"/>
              </w:rPr>
              <w:t>. Gdańskie Wydawnictwo Psychologiczne.</w:t>
            </w:r>
          </w:p>
          <w:p w14:paraId="5E879F99" w14:textId="77777777" w:rsidR="002056E7" w:rsidRDefault="00000000">
            <w:pPr>
              <w:widowControl w:val="0"/>
              <w:tabs>
                <w:tab w:val="left" w:pos="-1440"/>
                <w:tab w:val="left" w:pos="-720"/>
              </w:tabs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Sternberg, R. J. (2001).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poznawcza</w:t>
            </w:r>
            <w:r>
              <w:rPr>
                <w:rFonts w:ascii="Times New Roman" w:eastAsia="Times New Roman" w:hAnsi="Times New Roman" w:cs="Times New Roman"/>
              </w:rPr>
              <w:t>. Wydawnictwa Szkolne i Pedagogiczne.</w:t>
            </w:r>
          </w:p>
          <w:p w14:paraId="14028F85" w14:textId="77777777" w:rsidR="002056E7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440"/>
                <w:tab w:val="left" w:pos="-720"/>
              </w:tabs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Pinker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S. (2002).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Jak działa umysł</w:t>
            </w:r>
            <w:r>
              <w:rPr>
                <w:rFonts w:ascii="Times New Roman" w:eastAsia="Times New Roman" w:hAnsi="Times New Roman" w:cs="Times New Roman"/>
              </w:rPr>
              <w:t>. Książka i Wiedza.</w:t>
            </w:r>
          </w:p>
        </w:tc>
      </w:tr>
      <w:tr w:rsidR="002056E7" w14:paraId="5C29574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183D" w14:textId="77777777" w:rsidR="002056E7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3DA79D80" w14:textId="77777777" w:rsidR="002056E7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F1 - </w:t>
            </w:r>
            <w:r>
              <w:rPr>
                <w:rFonts w:ascii="Times New Roman" w:eastAsia="Times New Roman" w:hAnsi="Times New Roman" w:cs="Times New Roman"/>
              </w:rPr>
              <w:t>Ocena aktywności studenta podczas zajęć.</w:t>
            </w:r>
          </w:p>
          <w:p w14:paraId="6251F9F6" w14:textId="77777777" w:rsidR="002056E7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>Przeprowadzenie i prezentacja eksperymentu.</w:t>
            </w:r>
          </w:p>
          <w:p w14:paraId="7DEF30A0" w14:textId="77777777" w:rsidR="002056E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P1 - </w:t>
            </w:r>
            <w:r>
              <w:rPr>
                <w:rFonts w:ascii="Times New Roman" w:eastAsia="Times New Roman" w:hAnsi="Times New Roman" w:cs="Times New Roman"/>
              </w:rPr>
              <w:t>Egzamin - test jednokrotnego wyboru.</w:t>
            </w:r>
          </w:p>
        </w:tc>
      </w:tr>
      <w:tr w:rsidR="002056E7" w14:paraId="39D8C5A1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06CB1D" w14:textId="77777777" w:rsidR="002056E7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AADC78" w14:textId="77777777" w:rsidR="002056E7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2056E7" w14:paraId="5950D240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289C1" w14:textId="77777777" w:rsidR="002056E7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89E7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29B64620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pisemny (test jednokrotnego wyboru)</w:t>
            </w:r>
          </w:p>
          <w:p w14:paraId="50ACFFFB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odbędzie się stacjonarnie.</w:t>
            </w:r>
          </w:p>
          <w:p w14:paraId="17E52F88" w14:textId="77777777" w:rsidR="002056E7" w:rsidRDefault="002056E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5D24BC" w14:textId="77777777" w:rsidR="002056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Kryteria oceny końcowej: </w:t>
            </w:r>
          </w:p>
          <w:p w14:paraId="66572034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- od 91 % do 100 %</w:t>
            </w:r>
          </w:p>
          <w:p w14:paraId="377B57EA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plus (4,5) - od 81 % do 90 %</w:t>
            </w:r>
          </w:p>
          <w:p w14:paraId="11E86A80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(4,0) - od 71 % do 80 %</w:t>
            </w:r>
          </w:p>
          <w:p w14:paraId="1C4A76B6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plus (3,5) - od 61 % do 70 %</w:t>
            </w:r>
          </w:p>
          <w:p w14:paraId="6FB8DF28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(3,0) - od 51 % do 60 %</w:t>
            </w:r>
          </w:p>
          <w:p w14:paraId="225606D5" w14:textId="77777777" w:rsidR="002056E7" w:rsidRDefault="00000000">
            <w:pPr>
              <w:numPr>
                <w:ilvl w:val="0"/>
                <w:numId w:val="4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Niedostateczna (2,0) - poniżej 51 %</w:t>
            </w:r>
          </w:p>
        </w:tc>
      </w:tr>
      <w:tr w:rsidR="002056E7" w14:paraId="18374104" w14:textId="77777777">
        <w:trPr>
          <w:trHeight w:val="58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EB5EC" w14:textId="77777777" w:rsidR="002056E7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DBF3" w14:textId="77777777" w:rsidR="002056E7" w:rsidRDefault="00000000">
            <w:pPr>
              <w:numPr>
                <w:ilvl w:val="0"/>
                <w:numId w:val="1"/>
              </w:numPr>
              <w:spacing w:after="0" w:line="240" w:lineRule="auto"/>
              <w:ind w:left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Minimum 80% obecności na zajęciach</w:t>
            </w:r>
          </w:p>
          <w:p w14:paraId="3EC3E27A" w14:textId="77777777" w:rsidR="002056E7" w:rsidRDefault="00000000">
            <w:pPr>
              <w:numPr>
                <w:ilvl w:val="0"/>
                <w:numId w:val="1"/>
              </w:numPr>
              <w:spacing w:after="0" w:line="240" w:lineRule="auto"/>
              <w:ind w:left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Aktywny udział w zajęciach</w:t>
            </w:r>
          </w:p>
          <w:p w14:paraId="7BD43D0E" w14:textId="77777777" w:rsidR="002056E7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Przeprowadzenie eksperymentu, opisanie przebiegu eksperymentu, analiza danych, wnioski. Przedstawienie wyników badań na ostatnich zajęciach. Grupy 5-6 osobowe, Temat eksperymentu ustala prowadzący wspólnie ze studentami. Przykłady: Efekt rozproszonej uwagi na skuteczność uczenia się, Efekt koloru na pamięć- kolor prezentowanego materiału wpływa na zdolność uczestników do zapamiętywania informacji.</w:t>
            </w:r>
          </w:p>
        </w:tc>
      </w:tr>
      <w:tr w:rsidR="002056E7" w14:paraId="39B6F29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AC604E8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2056E7" w14:paraId="3BF264A9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A84D761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547863F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3F5E8D7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2056E7" w14:paraId="426DBBFD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D0C783E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WYKŁADY</w:t>
            </w:r>
          </w:p>
        </w:tc>
      </w:tr>
      <w:tr w:rsidR="002056E7" w14:paraId="53B04CC7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AE1C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0971" w14:textId="77777777" w:rsidR="002056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pogłębioną i uporządkowaną wiedzę o rozwoju psychologii poznawczej oraz potrafi krytycznie interpretować rolę koncepcji poznawczych w wyjaśnianiu różnic indywidualnych w funkcjonowaniu człowieka.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0067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K_W03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K_W06</w:t>
            </w:r>
          </w:p>
        </w:tc>
      </w:tr>
      <w:tr w:rsidR="002056E7" w14:paraId="118135ED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5492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3C8E" w14:textId="77777777" w:rsidR="002056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usystematyzowaną wiedzę o procesach spostrzegania, pamięci i świadomości oraz potrafi analizować i porów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nywać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teorie wyjaśniające te zjawiska, w tym mechanizmy integracji sensorycznej i ich implikacje praktyczne, z uwzględnieniem ograniczeń modeli i granic wnioskowania.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F36B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</w:tc>
      </w:tr>
      <w:tr w:rsidR="002056E7" w14:paraId="53A916F3" w14:textId="77777777" w:rsidTr="007009DF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4FE87B6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</w:tr>
      <w:tr w:rsidR="002056E7" w14:paraId="65185432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4D35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B76E" w14:textId="77777777" w:rsidR="002056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Potrafi analizować i interpretować zachowanie jednostki w kategoriach mechanizmów percepcji, uwagi i pamięci, posługując się adekwatną terminologią oraz formułując uzasadnione wnioski na podstawie materiału zadaniowego/studiów przypadków.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D440" w14:textId="0350509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K_U07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K_U</w:t>
            </w:r>
            <w:r w:rsidR="00BE35E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</w:tr>
      <w:tr w:rsidR="002056E7" w14:paraId="0CD23707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DDCC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E0EE" w14:textId="77777777" w:rsidR="002056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Potrafi odnosić ocenę funkcjonowania poznawczego człowieka do teorii i wyników badań empirycznych oraz krytycznie interpretować ich zastosowania praktyczne, wskazując alternatywne wyjaśnienia oraz ograniczenia metodologiczne.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F42F" w14:textId="1002420A" w:rsidR="002056E7" w:rsidRDefault="00BE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K_U07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K_U11</w:t>
            </w:r>
          </w:p>
          <w:p w14:paraId="78FC944D" w14:textId="77777777" w:rsidR="002056E7" w:rsidRDefault="002056E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056E7" w14:paraId="5014A790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AE21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16BB" w14:textId="77777777" w:rsidR="002056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Jest gotów do odpowiedzialnego wykorzystywania wiedzy o funkcjonowaniu poznawczym jako jednym z istotnych czynników determinujących zachowanie człowieka w analizie problemów praktycznych, z uwzględnieniem złożoności zjawisk i ograniczeń wnioskowania psychologicznego.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EFC1" w14:textId="07E91EB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BE35E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056E7" w14:paraId="4C9B7121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36D2118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2056E7" w14:paraId="656AD2C5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24FEFE9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FB366DB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07DB5A8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1AEAD32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53735BA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214DCE4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2056E7" w14:paraId="6A587C6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B565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B7C2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K_W03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K_W06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860A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EB27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W1-W3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EF83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56535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2056E7" w14:paraId="6005C0D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F5DF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5B47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A8E0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C3, 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A3C4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W4-W10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182EC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8726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2056E7" w14:paraId="4051903C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60F4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459B" w14:textId="3DD9387E" w:rsidR="002056E7" w:rsidRDefault="00BE3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K_U07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K_U11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4AC4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C6, C7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F3A0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Ć1-Ć10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94AB1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35507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F2</w:t>
            </w:r>
          </w:p>
        </w:tc>
      </w:tr>
      <w:tr w:rsidR="002056E7" w14:paraId="08FD7E10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2B76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1B47" w14:textId="1D50793A" w:rsidR="002056E7" w:rsidRDefault="00BE3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K_U07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K_U11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5420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C5, C6, C7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27AB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Ć1-Ć10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8F02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08EE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F2</w:t>
            </w:r>
          </w:p>
        </w:tc>
      </w:tr>
      <w:tr w:rsidR="002056E7" w14:paraId="2DFA4BE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D8FE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766B" w14:textId="2050FC65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BE35E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C14F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C7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D6C0" w14:textId="77777777" w:rsidR="002056E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Ć1-Ć10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890C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7099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2056E7" w14:paraId="496CBA3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63E270B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2056E7" w14:paraId="6F5A17CB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B2FEAE6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853787C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541FB80" w14:textId="77777777" w:rsidR="002056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2056E7" w14:paraId="4A0DD27E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E4FACB9" w14:textId="77777777" w:rsidR="002056E7" w:rsidRDefault="00205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1A2174B" w14:textId="77777777" w:rsidR="002056E7" w:rsidRDefault="00205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26442E1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B669925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9177FB" w14:paraId="68ECC257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1281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377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90357" w14:textId="216CB2E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E28B" w14:textId="4DFA1904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30</w:t>
            </w:r>
          </w:p>
        </w:tc>
      </w:tr>
      <w:tr w:rsidR="009177FB" w14:paraId="442FAC2E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6742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3F25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450E" w14:textId="75241CCB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2964" w14:textId="6DC8C619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20</w:t>
            </w:r>
          </w:p>
        </w:tc>
      </w:tr>
      <w:tr w:rsidR="009177FB" w14:paraId="0B9ED44A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D4C28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Seminarium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8680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D2F7" w14:textId="0F286B95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07F3" w14:textId="3F0C9E2D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</w:tr>
      <w:tr w:rsidR="009177FB" w14:paraId="276FC453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2DAA5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ADBE3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552E" w14:textId="0CB2303A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A84A7" w14:textId="737E7762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</w:tr>
      <w:tr w:rsidR="009177FB" w14:paraId="5C06B5A3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6CD6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B088F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4657" w14:textId="63862796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B6321" w14:textId="0063B094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</w:tr>
      <w:tr w:rsidR="009177FB" w14:paraId="007C03BE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32774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3C92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9860E" w14:textId="590A03F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98D6" w14:textId="709372FE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</w:tr>
      <w:tr w:rsidR="009177FB" w14:paraId="6C252CDC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33C4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6B255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43AD6" w14:textId="5DBB2EE9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FEB5" w14:textId="308F756A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</w:t>
            </w:r>
          </w:p>
        </w:tc>
      </w:tr>
      <w:tr w:rsidR="009177FB" w14:paraId="7403DDDA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DC38" w14:textId="7777777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4A8C" w14:textId="77777777" w:rsidR="009177FB" w:rsidRDefault="009177FB" w:rsidP="009177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E6E0" w14:textId="0B87E740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0FB1" w14:textId="00291378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50</w:t>
            </w:r>
          </w:p>
        </w:tc>
      </w:tr>
      <w:tr w:rsidR="009177FB" w14:paraId="3C1A3BE6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EB68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CE53" w14:textId="77777777" w:rsidR="009177FB" w:rsidRDefault="009177FB" w:rsidP="009177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FBF4" w14:textId="2023287F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E8326" w14:textId="347B651A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30</w:t>
            </w:r>
          </w:p>
        </w:tc>
      </w:tr>
      <w:tr w:rsidR="009177FB" w14:paraId="65A58D82" w14:textId="77777777" w:rsidTr="00BE67F5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B108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6EE1" w14:textId="77777777" w:rsidR="009177FB" w:rsidRDefault="009177FB" w:rsidP="009177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66197" w14:textId="1702E64C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AAC02" w14:textId="55F0076C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20</w:t>
            </w:r>
          </w:p>
        </w:tc>
      </w:tr>
      <w:tr w:rsidR="009177FB" w14:paraId="66E8C5C9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AAB1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B1974" w14:textId="77777777" w:rsidR="009177FB" w:rsidRDefault="009177FB" w:rsidP="009177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1FC0" w14:textId="2B6A3063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F3D3" w14:textId="59189522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20</w:t>
            </w:r>
          </w:p>
        </w:tc>
      </w:tr>
      <w:tr w:rsidR="009177FB" w14:paraId="7D4B701B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8BA9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8B7D" w14:textId="77777777" w:rsidR="009177FB" w:rsidRDefault="009177FB" w:rsidP="009177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23FB" w14:textId="5F5A55E7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51D6" w14:textId="039FBB0C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10</w:t>
            </w:r>
          </w:p>
        </w:tc>
      </w:tr>
      <w:tr w:rsidR="009177FB" w14:paraId="12CB9B25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8B544" w14:textId="77777777" w:rsidR="009177FB" w:rsidRDefault="009177FB" w:rsidP="009177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DC7B" w14:textId="77777777" w:rsidR="009177FB" w:rsidRDefault="009177FB" w:rsidP="009177F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07F1" w14:textId="5DD2BB4C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774D" w14:textId="504180A8" w:rsidR="009177FB" w:rsidRDefault="009177FB" w:rsidP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20</w:t>
            </w:r>
          </w:p>
        </w:tc>
      </w:tr>
      <w:tr w:rsidR="002056E7" w14:paraId="324BED27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B8993" w14:textId="77777777" w:rsidR="002056E7" w:rsidRDefault="00205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9898B" w14:textId="77777777" w:rsidR="002056E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7BBA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6D6E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056E7" w14:paraId="23B43CF2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D5C2FE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64B3D" w14:textId="50839E60" w:rsidR="002056E7" w:rsidRDefault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12925" w14:textId="0D80D5E6" w:rsidR="002056E7" w:rsidRDefault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2056E7" w14:paraId="31032AEA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92D4D9" w14:textId="77777777" w:rsidR="002056E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C66DF" w14:textId="1CA1F01A" w:rsidR="002056E7" w:rsidRDefault="009177F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</w:tbl>
    <w:p w14:paraId="61922BCC" w14:textId="77777777" w:rsidR="002056E7" w:rsidRDefault="00205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3FA71451" w14:textId="77777777" w:rsidR="002056E7" w:rsidRDefault="00205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2056E7">
      <w:footerReference w:type="default" r:id="rId9"/>
      <w:footerReference w:type="first" r:id="rId10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C53C" w14:textId="77777777" w:rsidR="00F128FC" w:rsidRDefault="00F128FC">
      <w:pPr>
        <w:spacing w:after="0" w:line="240" w:lineRule="auto"/>
      </w:pPr>
      <w:r>
        <w:separator/>
      </w:r>
    </w:p>
  </w:endnote>
  <w:endnote w:type="continuationSeparator" w:id="0">
    <w:p w14:paraId="64F32B0A" w14:textId="77777777" w:rsidR="00F128FC" w:rsidRDefault="00F12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F4CE362-DE7F-479C-8422-F471B165D75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84B2894-1FC5-4961-8ACC-6A1F8301C195}"/>
    <w:embedBold r:id="rId3" w:fontKey="{9DF56C34-7185-44D2-B531-E58F3ABE965B}"/>
    <w:embedItalic r:id="rId4" w:fontKey="{29CD4769-63A8-49DA-B038-E5B0D665201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448A927B-E0E8-4B83-B112-889C104F5CE3}"/>
    <w:embedBold r:id="rId6" w:fontKey="{AE45ABDE-A3A9-49F2-BA9F-06309287E9C0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1D6E1C44-BD4A-4834-9901-37B5B81FC0CA}"/>
    <w:embedBold r:id="rId8" w:fontKey="{A0A94D85-7A92-4F84-AC5C-0EC477D2DE2B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C9B1A06B-99C4-4049-9241-97924D6459AE}"/>
    <w:embedItalic r:id="rId10" w:fontKey="{69DF56DB-DCF1-40F4-B4D3-B1956DD334E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1" w:fontKey="{D5A31172-46F3-40EB-8202-668EB1DE16C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D173B3EA-26A9-48F3-9A4F-74EE1069D1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3FD81" w14:textId="77777777" w:rsidR="002056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7009DF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5FA10438" w14:textId="77777777" w:rsidR="002056E7" w:rsidRDefault="002056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81A2" w14:textId="77777777" w:rsidR="002056E7" w:rsidRDefault="002056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BE10D" w14:textId="77777777" w:rsidR="00F128FC" w:rsidRDefault="00F128FC">
      <w:pPr>
        <w:spacing w:after="0" w:line="240" w:lineRule="auto"/>
      </w:pPr>
      <w:r>
        <w:separator/>
      </w:r>
    </w:p>
  </w:footnote>
  <w:footnote w:type="continuationSeparator" w:id="0">
    <w:p w14:paraId="591DE3AC" w14:textId="77777777" w:rsidR="00F128FC" w:rsidRDefault="00F12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B74"/>
    <w:multiLevelType w:val="multilevel"/>
    <w:tmpl w:val="AE045D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C862B0A"/>
    <w:multiLevelType w:val="multilevel"/>
    <w:tmpl w:val="A072E7E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23C7378D"/>
    <w:multiLevelType w:val="multilevel"/>
    <w:tmpl w:val="D66A57AA"/>
    <w:lvl w:ilvl="0">
      <w:start w:val="1"/>
      <w:numFmt w:val="decimal"/>
      <w:pStyle w:val="CMSHeadL7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D0660"/>
    <w:multiLevelType w:val="multilevel"/>
    <w:tmpl w:val="945E6E7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4" w15:restartNumberingAfterBreak="0">
    <w:nsid w:val="3A6F7E38"/>
    <w:multiLevelType w:val="multilevel"/>
    <w:tmpl w:val="D8664C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3C5EFA"/>
    <w:multiLevelType w:val="multilevel"/>
    <w:tmpl w:val="CEE848B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78399">
    <w:abstractNumId w:val="4"/>
  </w:num>
  <w:num w:numId="2" w16cid:durableId="1082288627">
    <w:abstractNumId w:val="1"/>
  </w:num>
  <w:num w:numId="3" w16cid:durableId="1175609506">
    <w:abstractNumId w:val="3"/>
  </w:num>
  <w:num w:numId="4" w16cid:durableId="564603096">
    <w:abstractNumId w:val="0"/>
  </w:num>
  <w:num w:numId="5" w16cid:durableId="464351173">
    <w:abstractNumId w:val="2"/>
  </w:num>
  <w:num w:numId="6" w16cid:durableId="388695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6E7"/>
    <w:rsid w:val="002056E7"/>
    <w:rsid w:val="00432FBF"/>
    <w:rsid w:val="005839A2"/>
    <w:rsid w:val="007009DF"/>
    <w:rsid w:val="009177FB"/>
    <w:rsid w:val="00A54620"/>
    <w:rsid w:val="00BE35E2"/>
    <w:rsid w:val="00C32A14"/>
    <w:rsid w:val="00F1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70D1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LoOMvP5K9SCXaW6Tg6qApC+++Q==">CgMxLjA4AHIhMWROdVJCbXZwVUJIMzlWN2lwdnZHQXVwUnhhSDA0Q2M5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1680</Words>
  <Characters>10084</Characters>
  <Application>Microsoft Office Word</Application>
  <DocSecurity>0</DocSecurity>
  <Lines>84</Lines>
  <Paragraphs>23</Paragraphs>
  <ScaleCrop>false</ScaleCrop>
  <Company/>
  <LinksUpToDate>false</LinksUpToDate>
  <CharactersWithSpaces>11741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Marta Adamczyk</cp:lastModifiedBy>
  <cp:revision>6</cp:revision>
  <dcterms:created xsi:type="dcterms:W3CDTF">2026-03-11T21:28:00Z</dcterms:created>
  <dcterms:modified xsi:type="dcterms:W3CDTF">2026-03-13T01:53:00Z</dcterms:modified>
</cp:coreProperties>
</file>