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AE173" w14:textId="77777777" w:rsidR="00542E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15443A75" wp14:editId="75835638">
            <wp:simplePos x="0" y="0"/>
            <wp:positionH relativeFrom="column">
              <wp:posOffset>-361949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1"/>
        <w:gridCol w:w="6867"/>
      </w:tblGrid>
      <w:tr w:rsidR="00542EB0" w14:paraId="3CDD37F1" w14:textId="77777777">
        <w:trPr>
          <w:trHeight w:val="567"/>
          <w:jc w:val="center"/>
        </w:trPr>
        <w:tc>
          <w:tcPr>
            <w:tcW w:w="10198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307C9FF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542EB0" w14:paraId="66D1C15E" w14:textId="77777777">
        <w:trPr>
          <w:trHeight w:val="567"/>
          <w:jc w:val="center"/>
        </w:trPr>
        <w:tc>
          <w:tcPr>
            <w:tcW w:w="10198" w:type="dxa"/>
            <w:gridSpan w:val="2"/>
            <w:shd w:val="clear" w:color="auto" w:fill="FFFFFF"/>
            <w:vAlign w:val="center"/>
          </w:tcPr>
          <w:p w14:paraId="0DB7FF81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</w:t>
            </w:r>
          </w:p>
        </w:tc>
      </w:tr>
      <w:tr w:rsidR="00542EB0" w14:paraId="3C7AA7EA" w14:textId="77777777">
        <w:trPr>
          <w:trHeight w:val="567"/>
          <w:jc w:val="center"/>
        </w:trPr>
        <w:tc>
          <w:tcPr>
            <w:tcW w:w="3331" w:type="dxa"/>
            <w:vAlign w:val="center"/>
          </w:tcPr>
          <w:p w14:paraId="17F41442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7" w:type="dxa"/>
            <w:vAlign w:val="center"/>
          </w:tcPr>
          <w:p w14:paraId="09B9EB0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Wykład, 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wiczenia</w:t>
            </w:r>
          </w:p>
        </w:tc>
      </w:tr>
      <w:tr w:rsidR="00542EB0" w14:paraId="38DE4F0B" w14:textId="77777777">
        <w:trPr>
          <w:trHeight w:val="567"/>
          <w:jc w:val="center"/>
        </w:trPr>
        <w:tc>
          <w:tcPr>
            <w:tcW w:w="10198" w:type="dxa"/>
            <w:gridSpan w:val="2"/>
            <w:vAlign w:val="center"/>
          </w:tcPr>
          <w:p w14:paraId="48888836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542EB0" w14:paraId="4B83ABEF" w14:textId="77777777">
        <w:trPr>
          <w:trHeight w:val="567"/>
          <w:jc w:val="center"/>
        </w:trPr>
        <w:tc>
          <w:tcPr>
            <w:tcW w:w="10198" w:type="dxa"/>
            <w:gridSpan w:val="2"/>
            <w:vAlign w:val="center"/>
          </w:tcPr>
          <w:p w14:paraId="438B2127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542EB0" w14:paraId="7FE65E52" w14:textId="77777777">
        <w:trPr>
          <w:trHeight w:val="567"/>
          <w:jc w:val="center"/>
        </w:trPr>
        <w:tc>
          <w:tcPr>
            <w:tcW w:w="10198" w:type="dxa"/>
            <w:gridSpan w:val="2"/>
            <w:tcBorders>
              <w:bottom w:val="single" w:sz="4" w:space="0" w:color="000000"/>
            </w:tcBorders>
            <w:vAlign w:val="center"/>
          </w:tcPr>
          <w:p w14:paraId="1567D6B4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4BA479ED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542EB0" w14:paraId="57C5BAD7" w14:textId="77777777">
        <w:trPr>
          <w:trHeight w:val="567"/>
          <w:jc w:val="center"/>
        </w:trPr>
        <w:tc>
          <w:tcPr>
            <w:tcW w:w="10198" w:type="dxa"/>
            <w:gridSpan w:val="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43BD7F34" w14:textId="77777777" w:rsidR="00542EB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</w:rPr>
              <w:t>Psychologia pracy i techniki rozwoju osobowości</w:t>
            </w:r>
          </w:p>
        </w:tc>
      </w:tr>
      <w:tr w:rsidR="00542EB0" w14:paraId="06A15EF2" w14:textId="77777777">
        <w:trPr>
          <w:trHeight w:val="567"/>
          <w:jc w:val="center"/>
        </w:trPr>
        <w:tc>
          <w:tcPr>
            <w:tcW w:w="10198" w:type="dxa"/>
            <w:gridSpan w:val="2"/>
            <w:vAlign w:val="center"/>
          </w:tcPr>
          <w:p w14:paraId="579DB8D9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58C94881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Wykład:</w:t>
            </w:r>
          </w:p>
          <w:p w14:paraId="3CEF5761" w14:textId="77777777" w:rsidR="00542EB0" w:rsidRDefault="00000000" w:rsidP="00705E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</w:rPr>
              <w:t xml:space="preserve">Uporządkowanie i pogłębienie wiedzy z zakresu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profesjologii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oraz psychologii pracy poprzez analizę pojęć, modeli i uwarunkowań rozwoju człowieka w pracy i dla pracy.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</w:rPr>
              <w:t>Krytyczna analiza i porównanie klasycznych i współczesnych koncepcji rozwoju zawodowego człowieka oraz ich konsekwencji dla funkcjonowania jednostki w cyklu życia.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C3</w:t>
            </w:r>
            <w:r>
              <w:rPr>
                <w:rFonts w:ascii="Times New Roman" w:eastAsia="Times New Roman" w:hAnsi="Times New Roman" w:cs="Times New Roman"/>
              </w:rPr>
              <w:t xml:space="preserve"> Interpretacja złożonych zjawisk i czynników środowiska pracy (w ujęciu interdyscyplinarnym: psychologia pracy, life-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developmental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psychology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HR) oraz wyprowadzanie wniosków dla praktyki organizacyjnej.</w:t>
            </w:r>
          </w:p>
          <w:p w14:paraId="44F7E7E6" w14:textId="77777777" w:rsidR="00542EB0" w:rsidRDefault="00000000" w:rsidP="00705E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Ćwiczenia:</w:t>
            </w:r>
          </w:p>
          <w:p w14:paraId="75883D37" w14:textId="77777777" w:rsidR="00542EB0" w:rsidRDefault="00000000" w:rsidP="00705E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</w:rPr>
              <w:t>Rozwijanie umiejętności diagnozowania i opisu sytuacji pracy z wykorzystaniem studiów przypadków i narzędzi analizy stanowiska/środowiska pracy.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C2</w:t>
            </w:r>
            <w:r>
              <w:rPr>
                <w:rFonts w:ascii="Times New Roman" w:eastAsia="Times New Roman" w:hAnsi="Times New Roman" w:cs="Times New Roman"/>
              </w:rPr>
              <w:t xml:space="preserve"> Doskonalenie umiejętności projektowania i uzasadniania propozycji działań wspierających rozwój zawodowy i dobrostan pracownika (na podstawie dowodów naukowych).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Kształtowanie postawy refleksyjnej i etycznej: krytyczna ocena rozwiązań HR oraz autorefleksja nad własnymi preferencjami i zasobami w kontekście pracy.</w:t>
            </w:r>
          </w:p>
        </w:tc>
      </w:tr>
      <w:tr w:rsidR="00542EB0" w14:paraId="388EA3AD" w14:textId="77777777">
        <w:trPr>
          <w:trHeight w:val="567"/>
          <w:jc w:val="center"/>
        </w:trPr>
        <w:tc>
          <w:tcPr>
            <w:tcW w:w="10198" w:type="dxa"/>
            <w:gridSpan w:val="2"/>
            <w:vAlign w:val="center"/>
          </w:tcPr>
          <w:p w14:paraId="77C4160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Psychologi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rozwoju człowieka w cyklu życia</w:t>
            </w:r>
          </w:p>
        </w:tc>
      </w:tr>
      <w:tr w:rsidR="00542EB0" w14:paraId="0431172E" w14:textId="77777777">
        <w:trPr>
          <w:trHeight w:val="567"/>
          <w:jc w:val="center"/>
        </w:trPr>
        <w:tc>
          <w:tcPr>
            <w:tcW w:w="10198" w:type="dxa"/>
            <w:gridSpan w:val="2"/>
            <w:vAlign w:val="center"/>
          </w:tcPr>
          <w:p w14:paraId="5329EB1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</w:p>
          <w:p w14:paraId="0A2D3AB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Zaliczenie przedmiotów: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Wprowadzeni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 psychologii oraz Psychologi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rozwoju człowieka w cyklu życia</w:t>
            </w:r>
          </w:p>
        </w:tc>
      </w:tr>
      <w:tr w:rsidR="00542EB0" w14:paraId="4D025099" w14:textId="77777777">
        <w:trPr>
          <w:trHeight w:val="567"/>
          <w:jc w:val="center"/>
        </w:trPr>
        <w:tc>
          <w:tcPr>
            <w:tcW w:w="10198" w:type="dxa"/>
            <w:gridSpan w:val="2"/>
            <w:vAlign w:val="center"/>
          </w:tcPr>
          <w:p w14:paraId="6A52FDC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0CDD97E1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Wykład problemowy i konwersatoryjny </w:t>
            </w:r>
            <w:r>
              <w:rPr>
                <w:rFonts w:ascii="Times New Roman" w:eastAsia="Times New Roman" w:hAnsi="Times New Roman" w:cs="Times New Roman"/>
              </w:rPr>
              <w:t>(prezentacje multimedialne, tablica/flipchart, krótkie materiały wideo, schematy/modelowe mapy pojęć) (Pd1, Pd2)</w:t>
            </w:r>
          </w:p>
          <w:p w14:paraId="2C18402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Dyskusja moderowana </w:t>
            </w:r>
            <w:r>
              <w:rPr>
                <w:rFonts w:ascii="Times New Roman" w:eastAsia="Times New Roman" w:hAnsi="Times New Roman" w:cs="Times New Roman"/>
              </w:rPr>
              <w:t xml:space="preserve"> (scenariusze pytań problemowych, krótkie opisy przypadków, karty stanowisk, narzędzia do głosowania)  (Pd3, Pd4)</w:t>
            </w:r>
          </w:p>
          <w:p w14:paraId="3961A821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Analiza literatury naukowej i synteza dowodów</w:t>
            </w:r>
            <w:r>
              <w:rPr>
                <w:rFonts w:ascii="Times New Roman" w:eastAsia="Times New Roman" w:hAnsi="Times New Roman" w:cs="Times New Roman"/>
              </w:rPr>
              <w:t xml:space="preserve"> (artykuły recenzowane, monografie, fragmenty raportów branżowych,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checklisty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krytycznej oceny badań) (Pd2, Pd5)</w:t>
            </w:r>
          </w:p>
          <w:p w14:paraId="727BC7E9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Mini-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case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studies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i analiza zdarzeń krytycznych</w:t>
            </w:r>
            <w:r>
              <w:rPr>
                <w:rFonts w:ascii="Times New Roman" w:eastAsia="Times New Roman" w:hAnsi="Times New Roman" w:cs="Times New Roman"/>
              </w:rPr>
              <w:t xml:space="preserve"> (opisy sytuacji organizacyjnych, arkusze analizy: czynniki–mechanizmy–skutki, przykładowe profile stanowisk/kompetencji)  (Pd3, Pd6)</w:t>
            </w:r>
          </w:p>
          <w:p w14:paraId="11B13241" w14:textId="77777777" w:rsidR="00542EB0" w:rsidRDefault="00542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55E19DC9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4B6F0E5F" w14:textId="77777777" w:rsidR="00542EB0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 Prezentacje multimedialne</w:t>
            </w:r>
          </w:p>
          <w:p w14:paraId="7E8730FE" w14:textId="77777777" w:rsidR="00542EB0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 Tablica/flipchart, schematy/diagramy, mapy pojęć</w:t>
            </w:r>
          </w:p>
          <w:p w14:paraId="236F825A" w14:textId="77777777" w:rsidR="00542EB0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Pd3 Krótkie opisy przypadków i opisy sytuacji organizacyjnych</w:t>
            </w:r>
          </w:p>
          <w:p w14:paraId="07E876C3" w14:textId="77777777" w:rsidR="00542EB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Pd4 Scenariusze pytań problemowych, </w:t>
            </w:r>
            <w:r>
              <w:rPr>
                <w:rFonts w:ascii="Times New Roman" w:eastAsia="Times New Roman" w:hAnsi="Times New Roman" w:cs="Times New Roman"/>
              </w:rPr>
              <w:t>karty stanowisk, narzędzia do głosowania</w:t>
            </w:r>
          </w:p>
          <w:p w14:paraId="7C20D5ED" w14:textId="77777777" w:rsidR="00542EB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Pd5 Artykuły recenzowane, </w:t>
            </w:r>
            <w:r>
              <w:rPr>
                <w:rFonts w:ascii="Times New Roman" w:eastAsia="Times New Roman" w:hAnsi="Times New Roman" w:cs="Times New Roman"/>
              </w:rPr>
              <w:t xml:space="preserve">monografie, fragmenty raportów branżowych,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checklisty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krytycznej oceny badań</w:t>
            </w:r>
          </w:p>
          <w:p w14:paraId="12BBE30E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Pd6 Arkusze analizy</w:t>
            </w:r>
            <w:r>
              <w:rPr>
                <w:rFonts w:ascii="Times New Roman" w:eastAsia="Times New Roman" w:hAnsi="Times New Roman" w:cs="Times New Roman"/>
              </w:rPr>
              <w:t xml:space="preserve"> „czynniki–mechanizmy–skutki”, przykładowe profile stanowisk/kompetencji</w:t>
            </w:r>
          </w:p>
        </w:tc>
      </w:tr>
      <w:tr w:rsidR="00542EB0" w14:paraId="498F90C5" w14:textId="77777777">
        <w:trPr>
          <w:trHeight w:val="273"/>
          <w:jc w:val="center"/>
        </w:trPr>
        <w:tc>
          <w:tcPr>
            <w:tcW w:w="10198" w:type="dxa"/>
            <w:gridSpan w:val="2"/>
            <w:shd w:val="clear" w:color="auto" w:fill="DBE5F1"/>
            <w:vAlign w:val="center"/>
          </w:tcPr>
          <w:p w14:paraId="6CDAE67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24C8E1EA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23B1A957" w14:textId="77777777" w:rsidR="00542EB0" w:rsidRDefault="00542EB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98"/>
        <w:gridCol w:w="1776"/>
        <w:gridCol w:w="351"/>
        <w:gridCol w:w="490"/>
        <w:gridCol w:w="997"/>
        <w:gridCol w:w="33"/>
        <w:gridCol w:w="1452"/>
      </w:tblGrid>
      <w:tr w:rsidR="00542EB0" w14:paraId="7A6F4F3A" w14:textId="77777777">
        <w:trPr>
          <w:trHeight w:val="5379"/>
          <w:jc w:val="center"/>
        </w:trPr>
        <w:tc>
          <w:tcPr>
            <w:tcW w:w="10198" w:type="dxa"/>
            <w:gridSpan w:val="11"/>
          </w:tcPr>
          <w:p w14:paraId="71BA24ED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  <w:p w14:paraId="0D278C64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Psychologiczne koncepcje człowieka w kontekście pracy –</w:t>
            </w:r>
            <w:r>
              <w:rPr>
                <w:rFonts w:ascii="Times New Roman" w:eastAsia="Times New Roman" w:hAnsi="Times New Roman" w:cs="Times New Roman"/>
              </w:rPr>
              <w:t xml:space="preserve"> analiza pojęcia osobowości zawodowej pracownika oraz jego implikacji dla funkcjonowania w organizacji.</w:t>
            </w:r>
          </w:p>
          <w:p w14:paraId="41418835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Człowiek w sytuacji pracy </w:t>
            </w:r>
            <w:r>
              <w:rPr>
                <w:rFonts w:ascii="Times New Roman" w:eastAsia="Times New Roman" w:hAnsi="Times New Roman" w:cs="Times New Roman"/>
              </w:rPr>
              <w:t>– interpretacja podmiotowych wyznaczników funkcjonowania (zasoby, potrzeby, wartości, cele) i ich znaczenia dla adaptacji zawodowej.</w:t>
            </w:r>
          </w:p>
          <w:p w14:paraId="0A1335B8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Temperament jako czynnik regulacji zachowania </w:t>
            </w:r>
            <w:r>
              <w:rPr>
                <w:rFonts w:ascii="Times New Roman" w:eastAsia="Times New Roman" w:hAnsi="Times New Roman" w:cs="Times New Roman"/>
              </w:rPr>
              <w:t>– ocena wpływu różnic indywidualnych na przystosowanie do wymagań pracy oraz efektywność działania.</w:t>
            </w:r>
          </w:p>
          <w:p w14:paraId="1E008CDE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Zawód a kariera</w:t>
            </w:r>
            <w:r>
              <w:rPr>
                <w:rFonts w:ascii="Times New Roman" w:eastAsia="Times New Roman" w:hAnsi="Times New Roman" w:cs="Times New Roman"/>
              </w:rPr>
              <w:t xml:space="preserve"> – porównanie ujęć kariery, modeli przebiegu kariery oraz uwarunkowań wyborów edukacyjno-zawodowych.</w:t>
            </w:r>
          </w:p>
          <w:p w14:paraId="1628DCE5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Rozwój zawodowy i doradztwo zawodowe</w:t>
            </w:r>
            <w:r>
              <w:rPr>
                <w:rFonts w:ascii="Times New Roman" w:eastAsia="Times New Roman" w:hAnsi="Times New Roman" w:cs="Times New Roman"/>
              </w:rPr>
              <w:t xml:space="preserve"> – analiza ról, funkcji i obszarów zastosowań doradztwa w różnych fazach życia zawodowego.</w:t>
            </w:r>
          </w:p>
          <w:p w14:paraId="38AEF22B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Psychologiczne teorie rozwoju zawodowego</w:t>
            </w:r>
            <w:r>
              <w:rPr>
                <w:rFonts w:ascii="Times New Roman" w:eastAsia="Times New Roman" w:hAnsi="Times New Roman" w:cs="Times New Roman"/>
              </w:rPr>
              <w:t xml:space="preserve"> – ujęcie historyczne i krytyczne: ewolucja koncepcji, ich założenia oraz ograniczenia w kontekście współczesnego rynku pracy.</w:t>
            </w:r>
          </w:p>
          <w:p w14:paraId="2A8D1F35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Profesjologia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– precyzyjne ujęcie definicji, przedmiotu i zadań oraz znaczenia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profesjologii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dla badań i praktyki psychologii pracy.</w:t>
            </w:r>
          </w:p>
          <w:p w14:paraId="02F307F4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Ogólne teorie zawodowego rozwoju osobowości –</w:t>
            </w:r>
            <w:r>
              <w:rPr>
                <w:rFonts w:ascii="Times New Roman" w:eastAsia="Times New Roman" w:hAnsi="Times New Roman" w:cs="Times New Roman"/>
              </w:rPr>
              <w:t xml:space="preserve"> syntetyzowanie i interpretacja kluczowych założeń oraz konsekwencji dla rozumienia rozwoju zawodowego.</w:t>
            </w:r>
          </w:p>
          <w:p w14:paraId="4084CAFF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Teoria czynności ludzkich</w:t>
            </w:r>
            <w:r>
              <w:rPr>
                <w:rFonts w:ascii="Times New Roman" w:eastAsia="Times New Roman" w:hAnsi="Times New Roman" w:cs="Times New Roman"/>
              </w:rPr>
              <w:t xml:space="preserve"> – zastosowanie aparatu pojęciowego do wyjaśniania aktywności zawodowej i organizacji działania w pracy.</w:t>
            </w:r>
          </w:p>
          <w:p w14:paraId="416C6AB0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Teoria podziału pracy ludzkiej</w:t>
            </w:r>
            <w:r>
              <w:rPr>
                <w:rFonts w:ascii="Times New Roman" w:eastAsia="Times New Roman" w:hAnsi="Times New Roman" w:cs="Times New Roman"/>
              </w:rPr>
              <w:t xml:space="preserve"> – analiza mechanizmów specjalizacji, ról zawodowych oraz skutków psychologicznych dla jednostki i zespołu.</w:t>
            </w:r>
          </w:p>
          <w:p w14:paraId="7745A871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Szczegółowe teorie zawodowego rozwoju osobowości </w:t>
            </w:r>
            <w:r>
              <w:rPr>
                <w:rFonts w:ascii="Times New Roman" w:eastAsia="Times New Roman" w:hAnsi="Times New Roman" w:cs="Times New Roman"/>
              </w:rPr>
              <w:t>– krytyczna analiza wybranych podejść i ich użyteczności w diagnozie oraz interwencji.</w:t>
            </w:r>
          </w:p>
          <w:p w14:paraId="465BF455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Teorie wyboru zawodu </w:t>
            </w:r>
            <w:r>
              <w:rPr>
                <w:rFonts w:ascii="Times New Roman" w:eastAsia="Times New Roman" w:hAnsi="Times New Roman" w:cs="Times New Roman"/>
              </w:rPr>
              <w:t>– porównanie modeli decyzyjnych, czynników wyboru oraz ich konsekwencji dla dopasowania człowiek–praca.</w:t>
            </w:r>
          </w:p>
          <w:p w14:paraId="50B92F54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Teorie uczenia się zawodu </w:t>
            </w:r>
            <w:r>
              <w:rPr>
                <w:rFonts w:ascii="Times New Roman" w:eastAsia="Times New Roman" w:hAnsi="Times New Roman" w:cs="Times New Roman"/>
              </w:rPr>
              <w:t>– interpretacja mechanizmów uczenia się kompetencji zawodowych (doświadczenie, trening, uczenie społeczne) i warunków efektywności.</w:t>
            </w:r>
          </w:p>
          <w:p w14:paraId="6B598A2C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Teorie pracy zawodowej </w:t>
            </w:r>
            <w:r>
              <w:rPr>
                <w:rFonts w:ascii="Times New Roman" w:eastAsia="Times New Roman" w:hAnsi="Times New Roman" w:cs="Times New Roman"/>
              </w:rPr>
              <w:t>– analiza i ocena ujęć pracy jako aktywności celowej, źródła tożsamości i rozwoju oraz potencjalnych kosztów psychologicznych.</w:t>
            </w:r>
          </w:p>
          <w:p w14:paraId="65169FF6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Teoria ciągłości rozwojowej (zawodowej)</w:t>
            </w:r>
            <w:r>
              <w:rPr>
                <w:rFonts w:ascii="Times New Roman" w:eastAsia="Times New Roman" w:hAnsi="Times New Roman" w:cs="Times New Roman"/>
              </w:rPr>
              <w:t xml:space="preserve"> – wyjaśnianie stabilności i zmian w trajektoriach zawodowych w perspektywie cyklu życia.</w:t>
            </w:r>
          </w:p>
          <w:p w14:paraId="30038273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Teoria miejsca i przestrzeni zawodowej człowieka </w:t>
            </w:r>
            <w:r>
              <w:rPr>
                <w:rFonts w:ascii="Times New Roman" w:eastAsia="Times New Roman" w:hAnsi="Times New Roman" w:cs="Times New Roman"/>
              </w:rPr>
              <w:t>– analiza relacji jednostka–środowisko (kontekst, mobilność, ograniczenia) w kształtowaniu ścieżek kariery.</w:t>
            </w:r>
          </w:p>
          <w:p w14:paraId="11B046B4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Psychologia zawodowego rozwoju osobowości </w:t>
            </w:r>
            <w:r>
              <w:rPr>
                <w:rFonts w:ascii="Times New Roman" w:eastAsia="Times New Roman" w:hAnsi="Times New Roman" w:cs="Times New Roman"/>
              </w:rPr>
              <w:t>– porządkowanie i pogłębiona interpretacja terminów kluczowych oraz ich znaczenia dla badań i praktyki.</w:t>
            </w:r>
          </w:p>
          <w:p w14:paraId="32952176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Sukcesy szkolno-zawodowe uczących się –</w:t>
            </w:r>
            <w:r>
              <w:rPr>
                <w:rFonts w:ascii="Times New Roman" w:eastAsia="Times New Roman" w:hAnsi="Times New Roman" w:cs="Times New Roman"/>
              </w:rPr>
              <w:t xml:space="preserve"> analiza uwarunkowań i wskaźników, interpretacja czynników sprzyjających osiągnięciom.</w:t>
            </w:r>
          </w:p>
          <w:p w14:paraId="1E317CF1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Przydatność społeczno-zawodowa absolwentów różnych typów szkół</w:t>
            </w:r>
            <w:r>
              <w:rPr>
                <w:rFonts w:ascii="Times New Roman" w:eastAsia="Times New Roman" w:hAnsi="Times New Roman" w:cs="Times New Roman"/>
              </w:rPr>
              <w:t xml:space="preserve"> – krytyczna ocena dopasowania kwalifikacji do wymagań rynku oraz konsekwencji dla zatrudnialności.</w:t>
            </w:r>
          </w:p>
          <w:p w14:paraId="6B92F18E" w14:textId="77777777" w:rsidR="00542EB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Sukcesy społeczno-zawodowe pracujących – </w:t>
            </w:r>
            <w:r>
              <w:rPr>
                <w:rFonts w:ascii="Times New Roman" w:eastAsia="Times New Roman" w:hAnsi="Times New Roman" w:cs="Times New Roman"/>
              </w:rPr>
              <w:t>analiza wielowymiarowych determinant (indywidualnych i środowiskowych) oraz interpretacja konsekwencji dla dobrostanu i rozwoju.</w:t>
            </w:r>
          </w:p>
          <w:p w14:paraId="7F49C3C7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4BE89869" w14:textId="77777777" w:rsidR="00542EB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Techniki i metody analizy pracy –</w:t>
            </w:r>
            <w:r>
              <w:rPr>
                <w:rFonts w:ascii="Times New Roman" w:eastAsia="Times New Roman" w:hAnsi="Times New Roman" w:cs="Times New Roman"/>
              </w:rPr>
              <w:t xml:space="preserve"> praktyczne zastosowanie narzędzi opisu stanowiska, identyfikowania wymagań i zasobów oraz formułowania wniosków diagnostycznych.</w:t>
            </w:r>
          </w:p>
          <w:p w14:paraId="352BDC5F" w14:textId="77777777" w:rsidR="00542EB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Rozwój i rozwijanie innych – </w:t>
            </w:r>
            <w:r>
              <w:rPr>
                <w:rFonts w:ascii="Times New Roman" w:eastAsia="Times New Roman" w:hAnsi="Times New Roman" w:cs="Times New Roman"/>
              </w:rPr>
              <w:t xml:space="preserve">projektowanie i uzasadnianie działań rozwojowych (np. plan rozwoju, rozmowa rozwojowa, coaching/trening) na podstawie literatury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case’ów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B1F563" w14:textId="77777777" w:rsidR="00542EB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Proces zawodowego rozwoju człowieka </w:t>
            </w:r>
            <w:r>
              <w:rPr>
                <w:rFonts w:ascii="Times New Roman" w:eastAsia="Times New Roman" w:hAnsi="Times New Roman" w:cs="Times New Roman"/>
              </w:rPr>
              <w:t>– analiza przebiegu na przykładach (etapy, przejścia, kryzysy, adaptacja) oraz formułowanie rekomendacji wspierających.</w:t>
            </w:r>
          </w:p>
          <w:p w14:paraId="3C1FBEBE" w14:textId="77777777" w:rsidR="00542EB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Czynniki i wyznaczniki rozwoju zawodowego</w:t>
            </w:r>
            <w:r>
              <w:rPr>
                <w:rFonts w:ascii="Times New Roman" w:eastAsia="Times New Roman" w:hAnsi="Times New Roman" w:cs="Times New Roman"/>
              </w:rPr>
              <w:t xml:space="preserve"> – identyfikacja i ocena czynników indywidualnych oraz środowiskowych w konkretnych sytuacjach pracy.</w:t>
            </w:r>
          </w:p>
          <w:p w14:paraId="28E54888" w14:textId="77777777" w:rsidR="00542EB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ćwiczeniowo-treningowe przystosowania do pracy</w:t>
            </w:r>
            <w:r>
              <w:rPr>
                <w:rFonts w:ascii="Times New Roman" w:eastAsia="Times New Roman" w:hAnsi="Times New Roman" w:cs="Times New Roman"/>
              </w:rPr>
              <w:t xml:space="preserve"> – dobór, zastosowanie i ewaluacja technik wspierających adaptację (np. trening umiejętności, strategie radzenia sobie, komunikacja).</w:t>
            </w:r>
          </w:p>
          <w:p w14:paraId="7F1C4426" w14:textId="77777777" w:rsidR="00542EB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Book Antiqua" w:eastAsia="Book Antiqua" w:hAnsi="Book Antiqua" w:cs="Book Antiqu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Metody, techniki i narzędzia diagnozowania osobowościowych wyznaczników pracy </w:t>
            </w:r>
            <w:r>
              <w:rPr>
                <w:rFonts w:ascii="Times New Roman" w:eastAsia="Times New Roman" w:hAnsi="Times New Roman" w:cs="Times New Roman"/>
              </w:rPr>
              <w:t>– krytyczna analiza doboru narzędzi, interpretacja wyników i formułowanie wniosków z uwzględnieniem ograniczeń i etyki.</w:t>
            </w:r>
          </w:p>
        </w:tc>
      </w:tr>
      <w:tr w:rsidR="00542EB0" w14:paraId="610569B5" w14:textId="77777777">
        <w:trPr>
          <w:trHeight w:val="704"/>
          <w:jc w:val="center"/>
        </w:trPr>
        <w:tc>
          <w:tcPr>
            <w:tcW w:w="10198" w:type="dxa"/>
            <w:gridSpan w:val="11"/>
            <w:vAlign w:val="center"/>
          </w:tcPr>
          <w:p w14:paraId="1B3F53CA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677E3FA0" w14:textId="77777777" w:rsidR="00542EB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Lubrańska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A. (2017)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pracy. Podstawowe pojęcia i zagadnienia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Difin</w:t>
            </w:r>
            <w:proofErr w:type="spellEnd"/>
          </w:p>
          <w:p w14:paraId="715BD5C2" w14:textId="77777777" w:rsidR="00542EB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Ratajczak Z. (2021)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pracy i organizacji.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PWN </w:t>
            </w:r>
          </w:p>
          <w:p w14:paraId="6B245E3F" w14:textId="77777777" w:rsidR="00542EB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Strelau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J. (2007)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Psychologia. Podręcznik akademicki Tom 3. Jednostka w społeczeństwie i elementy psychologii stosowanej.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Gdańskie Wydawnictwo Psychologiczne </w:t>
            </w:r>
          </w:p>
          <w:p w14:paraId="6D4090F1" w14:textId="77777777" w:rsidR="00542EB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Czarnecki K. (2016).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Profesjologia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 Nauka o zawodowym rozwoju człowieka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Sosnowiec: Oficyna Wydawnicza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Humanitas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542EB0" w14:paraId="2F2CDBC0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7B51DD8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uzupełniająca:</w:t>
            </w:r>
          </w:p>
          <w:p w14:paraId="6A46C02E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Czarnecki K., Karaś S. (1996).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Profesjologia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w zarysie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Radom</w:t>
            </w:r>
          </w:p>
          <w:p w14:paraId="3747A750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Sadownikowa-Krysik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L. (1996)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Menedżment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i psychodiagn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ostyka. Opole</w:t>
            </w:r>
          </w:p>
          <w:p w14:paraId="52EA728A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Falkowski A. (2003).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Praktyczna psychologia poznawcza: marketing i reklama.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Gdańsk: GWP</w:t>
            </w:r>
          </w:p>
          <w:p w14:paraId="0739071B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Kożusznik B. red. (1994).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w pracy menedżera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Katowice</w:t>
            </w:r>
          </w:p>
          <w:p w14:paraId="31D24AA9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Kożusznik B. (2002).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zespołu pracowniczego: doskonalenie efektywności.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Katowice: Uniwersytet Śląski</w:t>
            </w:r>
          </w:p>
          <w:p w14:paraId="6B87038B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Zbiegień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-Maciąg L. (1996).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Marketing personalny.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Warszawa</w:t>
            </w:r>
          </w:p>
          <w:p w14:paraId="359FD6A5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Baruk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A. I. (2006).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Marketing personalny jako instrument kreowania wizerunku firmy.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Warszawa: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Difin</w:t>
            </w:r>
            <w:proofErr w:type="spellEnd"/>
          </w:p>
          <w:p w14:paraId="4FFA4830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Stopińska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-Pająk A. (2006).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Edukacja dorosłych. Doradca zawodowy. Rynek pracy.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Warszawa: Wyższa Szkoła Pedagogiczna Towarzystwa Wiedzy Powszechnej </w:t>
            </w:r>
          </w:p>
          <w:p w14:paraId="4FB047E2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Suchar M. (2003).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Kariera i rozwój zawodowy.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Gdańsk: Ośrodek Doradztwa i Doskonalenia Kadr ODDK</w:t>
            </w:r>
          </w:p>
          <w:p w14:paraId="38C278E7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Czarnecki K.,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Pietrulewicz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B., Kowolik P. (2017).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Nowy leksykon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profesjologiczny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Sosnowiec: Oficyna Wydawnicza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Humanitas</w:t>
            </w:r>
            <w:proofErr w:type="spellEnd"/>
          </w:p>
          <w:p w14:paraId="17A4FA8E" w14:textId="77777777" w:rsidR="00542EB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05EDE">
              <w:rPr>
                <w:rFonts w:ascii="Times New Roman" w:eastAsia="Times New Roman" w:hAnsi="Times New Roman" w:cs="Times New Roman"/>
                <w:lang w:val="en-US"/>
              </w:rPr>
              <w:t xml:space="preserve">Rothmann, S., &amp; Cooper, C. (2022). </w:t>
            </w:r>
            <w:r w:rsidRPr="00705ED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Work and Organizational Psychology</w:t>
            </w:r>
            <w:r w:rsidRPr="00705EDE">
              <w:rPr>
                <w:rFonts w:ascii="Times New Roman" w:eastAsia="Times New Roman" w:hAnsi="Times New Roman" w:cs="Times New Roman"/>
                <w:lang w:val="en-US"/>
              </w:rPr>
              <w:t xml:space="preserve"> (3rd ed.).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Routledge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42EB0" w14:paraId="4F98C67B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6F71722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303F7102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F1-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ocena aktywności na zajęciach</w:t>
            </w:r>
          </w:p>
          <w:p w14:paraId="0CDF24A9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F2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praca zaliczeniowa</w:t>
            </w:r>
          </w:p>
          <w:p w14:paraId="678E0D15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Kolokwium pisemne</w:t>
            </w:r>
          </w:p>
        </w:tc>
      </w:tr>
      <w:tr w:rsidR="00542EB0" w14:paraId="47ED2BDC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33032D15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99" w:type="dxa"/>
            <w:gridSpan w:val="6"/>
            <w:vAlign w:val="center"/>
          </w:tcPr>
          <w:p w14:paraId="1BE554A6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542EB0" w14:paraId="08A297A1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70B882AB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5099" w:type="dxa"/>
            <w:gridSpan w:val="6"/>
            <w:vAlign w:val="center"/>
          </w:tcPr>
          <w:p w14:paraId="7179BB9A" w14:textId="77777777" w:rsidR="00542EB0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Egzamin końcowy:</w:t>
            </w:r>
          </w:p>
          <w:p w14:paraId="661EE8EC" w14:textId="77777777" w:rsidR="00542EB0" w:rsidRDefault="00000000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Forma: kolokwium pisemne obejmujące pytania zamknięte (jednokrotnego wyboru).</w:t>
            </w:r>
          </w:p>
          <w:p w14:paraId="4ADA87D1" w14:textId="77777777" w:rsidR="00542EB0" w:rsidRDefault="00000000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Zakres: zagadnienia omawiane na wykładach, w tym koncepcje osobowości zawodowej, teorie rozwoju zawodowego,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profesjologia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czynniki środowiska pracy oraz sukcesy społeczno-zawodowe.</w:t>
            </w:r>
          </w:p>
          <w:p w14:paraId="3C992DD9" w14:textId="77777777" w:rsidR="00542EB0" w:rsidRDefault="00000000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Kryteria oceny:</w:t>
            </w:r>
          </w:p>
          <w:p w14:paraId="5B80BE43" w14:textId="77777777" w:rsidR="00542EB0" w:rsidRDefault="00000000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Bardzo dobra (5,0): 91%–100%.</w:t>
            </w:r>
          </w:p>
          <w:p w14:paraId="751007C6" w14:textId="77777777" w:rsidR="00542EB0" w:rsidRDefault="00000000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plus (4,5): 81%–90%.</w:t>
            </w:r>
          </w:p>
          <w:p w14:paraId="0307254E" w14:textId="77777777" w:rsidR="00542EB0" w:rsidRDefault="00000000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(4,0): 71%–80%.</w:t>
            </w:r>
          </w:p>
          <w:p w14:paraId="442EC3E1" w14:textId="77777777" w:rsidR="00542EB0" w:rsidRDefault="00000000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plus (3,5): 61%–70%.</w:t>
            </w:r>
          </w:p>
          <w:p w14:paraId="511D5E77" w14:textId="77777777" w:rsidR="00542EB0" w:rsidRDefault="00000000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(3,0): 51%–60%.</w:t>
            </w:r>
          </w:p>
          <w:p w14:paraId="6EBDCFE6" w14:textId="77777777" w:rsidR="00542EB0" w:rsidRDefault="00000000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Niedostateczna (2,0): poniżej 51%.</w:t>
            </w:r>
          </w:p>
          <w:p w14:paraId="02DD8E23" w14:textId="77777777" w:rsidR="00542EB0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Warunek przystąpienia do egzaminu: zaliczenie ćwiczeń </w:t>
            </w:r>
          </w:p>
        </w:tc>
      </w:tr>
      <w:tr w:rsidR="00542EB0" w14:paraId="4CCBFFF8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609FB6D5" w14:textId="77777777" w:rsidR="00542EB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Ćwiczenia</w:t>
            </w:r>
          </w:p>
        </w:tc>
        <w:tc>
          <w:tcPr>
            <w:tcW w:w="5099" w:type="dxa"/>
            <w:gridSpan w:val="6"/>
            <w:vAlign w:val="center"/>
          </w:tcPr>
          <w:p w14:paraId="6A35F4D1" w14:textId="77777777" w:rsidR="00542EB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Obecność na zajęciach: minimum 80% obecności na zajęciach ćwiczeniowych. Nieobecności należy odrobić w formie dodatkowych zadań ustalonych przez prowadzącego.</w:t>
            </w:r>
          </w:p>
          <w:p w14:paraId="32FDD29D" w14:textId="77777777" w:rsidR="00542EB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Aktywny udział w ćwiczeniach grupowych i indywidualnych, w tym dyskusjach i symulacjach praktycznych.</w:t>
            </w:r>
          </w:p>
          <w:p w14:paraId="4E859EF6" w14:textId="77777777" w:rsidR="00542EB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Prace zaliczeniowe:</w:t>
            </w:r>
          </w:p>
          <w:p w14:paraId="7730199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-Przygotowanie krótkiego raportu lub eseju dotyczącego wybranego zagadnienia z zakresu przedmiotu, np. analizy czynników rozwoju zawodowego lub zastosowania technik diagnostycznych w ocenie osobowości zawodowej.</w:t>
            </w:r>
          </w:p>
          <w:p w14:paraId="0B535223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raportu uwzględnia:</w:t>
            </w:r>
          </w:p>
          <w:p w14:paraId="1682C1E3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-Merytoryczność i zgodność z literaturą.</w:t>
            </w:r>
          </w:p>
          <w:p w14:paraId="3154EBA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-Język i poprawność stylistyczną.</w:t>
            </w:r>
          </w:p>
          <w:p w14:paraId="21E0EC0A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-Umiejętność praktycznego zastosowania wiedzy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</w:tr>
      <w:tr w:rsidR="00542EB0" w14:paraId="0F420743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492799BF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542EB0" w14:paraId="14CD04BC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731D44C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44E4129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7CA9AFDF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542EB0" w14:paraId="3A737D4A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183B6A8E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542EB0" w14:paraId="0DD15EDF" w14:textId="77777777">
        <w:trPr>
          <w:trHeight w:val="546"/>
          <w:jc w:val="center"/>
        </w:trPr>
        <w:tc>
          <w:tcPr>
            <w:tcW w:w="1519" w:type="dxa"/>
          </w:tcPr>
          <w:p w14:paraId="7B9A4018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6799CC1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wiedzę i rozumie kluczowe koncepcje dotyczące roli pracy w życiu człowieka oraz dokonuje krytycznej analizy klasycznych i współczesnych teorii pracy w odniesieniu do funkcjonowania jednostki i grup.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    </w:t>
            </w:r>
          </w:p>
        </w:tc>
        <w:tc>
          <w:tcPr>
            <w:tcW w:w="2482" w:type="dxa"/>
            <w:gridSpan w:val="3"/>
          </w:tcPr>
          <w:p w14:paraId="12381D86" w14:textId="3F696EC6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K_W19 K_W20</w:t>
            </w:r>
          </w:p>
        </w:tc>
      </w:tr>
      <w:tr w:rsidR="00542EB0" w14:paraId="55D89CE1" w14:textId="77777777">
        <w:trPr>
          <w:trHeight w:val="567"/>
          <w:jc w:val="center"/>
        </w:trPr>
        <w:tc>
          <w:tcPr>
            <w:tcW w:w="1519" w:type="dxa"/>
          </w:tcPr>
          <w:p w14:paraId="3431458A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7"/>
          </w:tcPr>
          <w:p w14:paraId="61457F4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wiedzę o czynnikach konstytuujących środowisko pracy oraz wyjaśnia mechanizmy ich oddziaływania na funkcjonowanie człowieka, uwzględniając złożoność i współzależności uwarunkowań psychospołecznych i organizacyjnych.</w:t>
            </w:r>
          </w:p>
        </w:tc>
        <w:tc>
          <w:tcPr>
            <w:tcW w:w="2482" w:type="dxa"/>
            <w:gridSpan w:val="3"/>
          </w:tcPr>
          <w:p w14:paraId="4230667D" w14:textId="79E2570C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</w:t>
            </w:r>
            <w:r w:rsidR="00234E41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42EB0" w14:paraId="1CD1D16C" w14:textId="77777777" w:rsidTr="00705EDE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72074AE9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542EB0" w14:paraId="04FB2C5F" w14:textId="77777777">
        <w:trPr>
          <w:trHeight w:val="567"/>
          <w:jc w:val="center"/>
        </w:trPr>
        <w:tc>
          <w:tcPr>
            <w:tcW w:w="1519" w:type="dxa"/>
          </w:tcPr>
          <w:p w14:paraId="385BCA9E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197" w:type="dxa"/>
            <w:gridSpan w:val="7"/>
          </w:tcPr>
          <w:p w14:paraId="3478D396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Potrafi integrować i stosować wiedzę teoretyczną do analizy, opisu i wyjaśniania funkcjonowania człowieka w pracy, formułując samodzielne wnioski interpretacyjne na podstawie danych i przesłanek teoretycznych.</w:t>
            </w:r>
          </w:p>
        </w:tc>
        <w:tc>
          <w:tcPr>
            <w:tcW w:w="2482" w:type="dxa"/>
            <w:gridSpan w:val="3"/>
          </w:tcPr>
          <w:p w14:paraId="1A59E036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K_U15 K_U16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542EB0" w14:paraId="5F677290" w14:textId="77777777">
        <w:trPr>
          <w:trHeight w:val="567"/>
          <w:jc w:val="center"/>
        </w:trPr>
        <w:tc>
          <w:tcPr>
            <w:tcW w:w="1519" w:type="dxa"/>
          </w:tcPr>
          <w:p w14:paraId="32E1E731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197" w:type="dxa"/>
            <w:gridSpan w:val="7"/>
          </w:tcPr>
          <w:p w14:paraId="1F6F22DC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Wykazuje postawę krytyczną i refleksyjną: identyfikuje problemy, wychodzi poza schematyczne interpretacje i argumentuje sposoby rozwiązywania problemów w obszarze psychologii pracy.</w:t>
            </w:r>
          </w:p>
        </w:tc>
        <w:tc>
          <w:tcPr>
            <w:tcW w:w="2482" w:type="dxa"/>
            <w:gridSpan w:val="3"/>
          </w:tcPr>
          <w:p w14:paraId="05992685" w14:textId="12250A0A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K_K04  K_K12</w:t>
            </w:r>
          </w:p>
        </w:tc>
      </w:tr>
      <w:tr w:rsidR="00542EB0" w14:paraId="7DE06127" w14:textId="77777777">
        <w:trPr>
          <w:trHeight w:val="567"/>
          <w:jc w:val="center"/>
        </w:trPr>
        <w:tc>
          <w:tcPr>
            <w:tcW w:w="1519" w:type="dxa"/>
          </w:tcPr>
          <w:p w14:paraId="1EA2EBA3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7"/>
          </w:tcPr>
          <w:p w14:paraId="6B36803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Wykazuje pogłębioną autorefleksję dotyczącą własnych preferencji, wartości i zasobów w kontekście środowiska pracy oraz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wykorzystuje ją do formułowania wniosków i planowania działań rozwojowych, z uwzględnieniem ograniczeń i konsekwencji wyborów zawodowych.</w:t>
            </w:r>
          </w:p>
        </w:tc>
        <w:tc>
          <w:tcPr>
            <w:tcW w:w="2482" w:type="dxa"/>
            <w:gridSpan w:val="3"/>
          </w:tcPr>
          <w:p w14:paraId="24E19A12" w14:textId="7FC0478F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K_K09    K_K</w:t>
            </w:r>
            <w:r w:rsidR="00652CC3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</w:tr>
      <w:tr w:rsidR="00542EB0" w14:paraId="187F12AE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23FC1359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542EB0" w14:paraId="0D1D8A86" w14:textId="77777777">
        <w:trPr>
          <w:trHeight w:val="567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DFC4C6A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30C68F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E24434A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036737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3F90A6D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411E22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542EB0" w14:paraId="2ED228C7" w14:textId="77777777">
        <w:trPr>
          <w:trHeight w:val="567"/>
          <w:jc w:val="center"/>
        </w:trPr>
        <w:tc>
          <w:tcPr>
            <w:tcW w:w="1519" w:type="dxa"/>
          </w:tcPr>
          <w:p w14:paraId="4157EB6E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811" w:type="dxa"/>
          </w:tcPr>
          <w:p w14:paraId="64EFB001" w14:textId="1D1F34CC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K_W19 K_W20</w:t>
            </w:r>
          </w:p>
        </w:tc>
        <w:tc>
          <w:tcPr>
            <w:tcW w:w="1471" w:type="dxa"/>
            <w:gridSpan w:val="2"/>
          </w:tcPr>
          <w:p w14:paraId="5A3FF66C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</w:t>
            </w:r>
          </w:p>
        </w:tc>
        <w:tc>
          <w:tcPr>
            <w:tcW w:w="2074" w:type="dxa"/>
            <w:gridSpan w:val="2"/>
          </w:tcPr>
          <w:p w14:paraId="62DD61D4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</w:t>
            </w:r>
          </w:p>
        </w:tc>
        <w:tc>
          <w:tcPr>
            <w:tcW w:w="1871" w:type="dxa"/>
            <w:gridSpan w:val="4"/>
            <w:vAlign w:val="center"/>
          </w:tcPr>
          <w:p w14:paraId="61FEDEA0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52" w:type="dxa"/>
            <w:vAlign w:val="center"/>
          </w:tcPr>
          <w:p w14:paraId="09AF8D73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F1,F2,P1</w:t>
            </w:r>
          </w:p>
        </w:tc>
      </w:tr>
      <w:tr w:rsidR="00542EB0" w14:paraId="22874434" w14:textId="77777777">
        <w:trPr>
          <w:trHeight w:val="567"/>
          <w:jc w:val="center"/>
        </w:trPr>
        <w:tc>
          <w:tcPr>
            <w:tcW w:w="1519" w:type="dxa"/>
          </w:tcPr>
          <w:p w14:paraId="4F733661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811" w:type="dxa"/>
          </w:tcPr>
          <w:p w14:paraId="11FA0A26" w14:textId="3D2338C1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K_W1</w:t>
            </w:r>
            <w:r w:rsidR="00652CC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71" w:type="dxa"/>
            <w:gridSpan w:val="2"/>
          </w:tcPr>
          <w:p w14:paraId="4063FE4A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C2,C3</w:t>
            </w:r>
          </w:p>
        </w:tc>
        <w:tc>
          <w:tcPr>
            <w:tcW w:w="2074" w:type="dxa"/>
            <w:gridSpan w:val="2"/>
          </w:tcPr>
          <w:p w14:paraId="571F3659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W2-W10</w:t>
            </w:r>
          </w:p>
        </w:tc>
        <w:tc>
          <w:tcPr>
            <w:tcW w:w="1871" w:type="dxa"/>
            <w:gridSpan w:val="4"/>
            <w:vAlign w:val="center"/>
          </w:tcPr>
          <w:p w14:paraId="6374C986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52" w:type="dxa"/>
            <w:vAlign w:val="center"/>
          </w:tcPr>
          <w:p w14:paraId="126407AD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F1,F2,P1</w:t>
            </w:r>
          </w:p>
        </w:tc>
      </w:tr>
      <w:tr w:rsidR="00542EB0" w14:paraId="20800494" w14:textId="77777777">
        <w:trPr>
          <w:trHeight w:val="567"/>
          <w:jc w:val="center"/>
        </w:trPr>
        <w:tc>
          <w:tcPr>
            <w:tcW w:w="1519" w:type="dxa"/>
          </w:tcPr>
          <w:p w14:paraId="3A5035E3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811" w:type="dxa"/>
          </w:tcPr>
          <w:p w14:paraId="32302BBE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K_U15 K_U16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471" w:type="dxa"/>
            <w:gridSpan w:val="2"/>
          </w:tcPr>
          <w:p w14:paraId="7D0AEF89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C2,C3,</w:t>
            </w:r>
          </w:p>
        </w:tc>
        <w:tc>
          <w:tcPr>
            <w:tcW w:w="2074" w:type="dxa"/>
            <w:gridSpan w:val="2"/>
          </w:tcPr>
          <w:p w14:paraId="279460F8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W11-W20</w:t>
            </w:r>
          </w:p>
        </w:tc>
        <w:tc>
          <w:tcPr>
            <w:tcW w:w="1871" w:type="dxa"/>
            <w:gridSpan w:val="4"/>
            <w:vAlign w:val="center"/>
          </w:tcPr>
          <w:p w14:paraId="0258C9DD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452" w:type="dxa"/>
            <w:vAlign w:val="center"/>
          </w:tcPr>
          <w:p w14:paraId="2344C681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F1,F2,P1</w:t>
            </w:r>
          </w:p>
        </w:tc>
      </w:tr>
      <w:tr w:rsidR="00542EB0" w14:paraId="6B790259" w14:textId="77777777">
        <w:trPr>
          <w:trHeight w:val="567"/>
          <w:jc w:val="center"/>
        </w:trPr>
        <w:tc>
          <w:tcPr>
            <w:tcW w:w="1519" w:type="dxa"/>
          </w:tcPr>
          <w:p w14:paraId="6A3C77B5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811" w:type="dxa"/>
          </w:tcPr>
          <w:p w14:paraId="2CC941B5" w14:textId="3E8A266D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K_K04  K_K12</w:t>
            </w:r>
          </w:p>
        </w:tc>
        <w:tc>
          <w:tcPr>
            <w:tcW w:w="1471" w:type="dxa"/>
            <w:gridSpan w:val="2"/>
          </w:tcPr>
          <w:p w14:paraId="3FEA8642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C2,C3,</w:t>
            </w:r>
          </w:p>
        </w:tc>
        <w:tc>
          <w:tcPr>
            <w:tcW w:w="2074" w:type="dxa"/>
            <w:gridSpan w:val="2"/>
          </w:tcPr>
          <w:p w14:paraId="232D7316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W11-W20</w:t>
            </w:r>
          </w:p>
        </w:tc>
        <w:tc>
          <w:tcPr>
            <w:tcW w:w="1871" w:type="dxa"/>
            <w:gridSpan w:val="4"/>
            <w:vAlign w:val="center"/>
          </w:tcPr>
          <w:p w14:paraId="21A4D60E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52" w:type="dxa"/>
            <w:vAlign w:val="center"/>
          </w:tcPr>
          <w:p w14:paraId="4BB4A05E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F1,F2,P1</w:t>
            </w:r>
          </w:p>
        </w:tc>
      </w:tr>
      <w:tr w:rsidR="00542EB0" w14:paraId="2D28A028" w14:textId="77777777">
        <w:trPr>
          <w:trHeight w:val="567"/>
          <w:jc w:val="center"/>
        </w:trPr>
        <w:tc>
          <w:tcPr>
            <w:tcW w:w="1519" w:type="dxa"/>
          </w:tcPr>
          <w:p w14:paraId="1C5C061F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811" w:type="dxa"/>
          </w:tcPr>
          <w:p w14:paraId="11639B6C" w14:textId="7C810ADA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K_K09    K_K</w:t>
            </w:r>
            <w:r w:rsidR="00652CC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471" w:type="dxa"/>
            <w:gridSpan w:val="2"/>
          </w:tcPr>
          <w:p w14:paraId="354E2EA4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C2,C3,</w:t>
            </w:r>
          </w:p>
        </w:tc>
        <w:tc>
          <w:tcPr>
            <w:tcW w:w="2074" w:type="dxa"/>
            <w:gridSpan w:val="2"/>
          </w:tcPr>
          <w:p w14:paraId="13600A18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W11-W20</w:t>
            </w:r>
          </w:p>
        </w:tc>
        <w:tc>
          <w:tcPr>
            <w:tcW w:w="1871" w:type="dxa"/>
            <w:gridSpan w:val="4"/>
            <w:vAlign w:val="center"/>
          </w:tcPr>
          <w:p w14:paraId="666FFD41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52" w:type="dxa"/>
            <w:vAlign w:val="center"/>
          </w:tcPr>
          <w:p w14:paraId="71538BD7" w14:textId="77777777" w:rsidR="00542EB0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F1,F2,P1</w:t>
            </w:r>
          </w:p>
        </w:tc>
      </w:tr>
      <w:tr w:rsidR="00542EB0" w14:paraId="0E1ABC6E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A94EB7C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542EB0" w14:paraId="5A88B50B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32BB8D4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4"/>
            <w:vMerge w:val="restart"/>
            <w:shd w:val="clear" w:color="auto" w:fill="D5DCE4"/>
            <w:vAlign w:val="center"/>
          </w:tcPr>
          <w:p w14:paraId="60276A9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633099CA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542EB0" w14:paraId="266789BF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49965EF5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Merge/>
            <w:shd w:val="clear" w:color="auto" w:fill="D5DCE4"/>
            <w:vAlign w:val="center"/>
          </w:tcPr>
          <w:p w14:paraId="28C5AF6D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42E7BAF2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4EFBA14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542EB0" w14:paraId="201D6E0C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D1C3382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4"/>
            <w:vMerge w:val="restart"/>
            <w:vAlign w:val="center"/>
          </w:tcPr>
          <w:p w14:paraId="6DF0FB3C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50E3141F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85" w:type="dxa"/>
            <w:gridSpan w:val="2"/>
            <w:vAlign w:val="center"/>
          </w:tcPr>
          <w:p w14:paraId="3287D5AF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42EB0" w14:paraId="3A365C1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413832D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1B9C0D66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CBAB06F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85" w:type="dxa"/>
            <w:gridSpan w:val="2"/>
            <w:vAlign w:val="center"/>
          </w:tcPr>
          <w:p w14:paraId="310F7CE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42EB0" w14:paraId="5F1C1AC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277B978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561305A3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2CC1E4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5BB2380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42EB0" w14:paraId="1B2F892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43CA4B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58767C1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6A4333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044D0E7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42EB0" w14:paraId="0A59C13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9AE367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7B6BAEF8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D244E1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24D494B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42EB0" w14:paraId="6228A63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30553BAF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50DF7BF8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8A3B94E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2C08A181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42EB0" w14:paraId="5E4A0679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C7E1381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1BBF0F30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BB65751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6D407EB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42EB0" w14:paraId="322A09B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58E7419F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4"/>
            <w:vAlign w:val="center"/>
          </w:tcPr>
          <w:p w14:paraId="3ACD5FA8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73DB834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47480D1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542EB0" w14:paraId="0467624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1C452DB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33AB6211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50DDFD18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6F43502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542EB0" w14:paraId="4205C079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D3223EC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5798DE5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1E958B2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6A07A30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542EB0" w14:paraId="142776A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71B5AAA3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6160106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3D61E329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6F54680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42EB0" w14:paraId="3035A29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8FF1791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7D37F308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6673868B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78FD8073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42EB0" w14:paraId="155996F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4AAE9B3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7BD43B03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17E8CAC4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85" w:type="dxa"/>
            <w:gridSpan w:val="2"/>
            <w:vAlign w:val="center"/>
          </w:tcPr>
          <w:p w14:paraId="58B7919A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542EB0" w14:paraId="403A88DC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2901494A" w14:textId="77777777" w:rsidR="00542EB0" w:rsidRDefault="00542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tcBorders>
              <w:bottom w:val="single" w:sz="4" w:space="0" w:color="000000"/>
            </w:tcBorders>
            <w:vAlign w:val="center"/>
          </w:tcPr>
          <w:p w14:paraId="3165614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19514F30" w14:textId="77777777" w:rsidR="00542EB0" w:rsidRDefault="00542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F57A3FA" w14:textId="77777777" w:rsidR="00542EB0" w:rsidRDefault="00542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2EB0" w14:paraId="285F8494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20A12E0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626E73D0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  <w:tc>
          <w:tcPr>
            <w:tcW w:w="1485" w:type="dxa"/>
            <w:gridSpan w:val="2"/>
            <w:vAlign w:val="center"/>
          </w:tcPr>
          <w:p w14:paraId="425DED25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</w:tr>
      <w:tr w:rsidR="00542EB0" w14:paraId="4515441D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736DD6F6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57DC9A38" w14:textId="77777777" w:rsidR="00542E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</w:tbl>
    <w:p w14:paraId="5BE2EA58" w14:textId="77777777" w:rsidR="00542EB0" w:rsidRDefault="00542E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B451BB2" w14:textId="77777777" w:rsidR="00542EB0" w:rsidRDefault="00542E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542EB0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AB45" w14:textId="77777777" w:rsidR="003843AF" w:rsidRDefault="003843A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5F3969B" w14:textId="77777777" w:rsidR="003843AF" w:rsidRDefault="003843A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B0B5110-04F2-447C-8A22-9ECAD0A192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0112704-9E11-4689-937C-E11D35EEB686}"/>
    <w:embedBold r:id="rId3" w:fontKey="{89CE4D7B-F154-4785-BF4B-C3BFE4283CA3}"/>
    <w:embedItalic r:id="rId4" w:fontKey="{062D9732-0281-44B2-B89A-2039CFDD4F0B}"/>
    <w:embedBoldItalic r:id="rId5" w:fontKey="{5F46A162-AB02-4139-8340-25C202D078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7AE96A2B-459C-4576-AAC9-1147B3F19C6D}"/>
    <w:embedBold r:id="rId7" w:fontKey="{A08C166F-8840-417E-B83C-2D36675A214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EF37762A-3013-4589-9866-D50133DBFEC6}"/>
    <w:embedBold r:id="rId9" w:fontKey="{446F18E7-871D-40E4-A7E6-3F9B69B603E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3E5ABA9B-5334-4D43-894D-4513B7402609}"/>
    <w:embedItalic r:id="rId11" w:fontKey="{450D75CE-AF5E-4FFE-8847-463ED0A09696}"/>
  </w:font>
  <w:font w:name="EUAlbertina"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2" w:fontKey="{BB1BF82A-ACF5-4EA8-A24C-1C0532E4D11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C617F50E-D892-43D5-A0BE-6745897368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8132" w14:textId="77777777" w:rsidR="00542EB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705EDE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A7F0799" w14:textId="77777777" w:rsidR="00542EB0" w:rsidRDefault="00542E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D34E" w14:textId="77777777" w:rsidR="003843AF" w:rsidRDefault="003843A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63B104A" w14:textId="77777777" w:rsidR="003843AF" w:rsidRDefault="003843AF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E26"/>
    <w:multiLevelType w:val="multilevel"/>
    <w:tmpl w:val="AD228C7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9771684"/>
    <w:multiLevelType w:val="multilevel"/>
    <w:tmpl w:val="0058826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2DFA0F71"/>
    <w:multiLevelType w:val="multilevel"/>
    <w:tmpl w:val="1B5A9C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2F871413"/>
    <w:multiLevelType w:val="multilevel"/>
    <w:tmpl w:val="8D52EE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FE85B32"/>
    <w:multiLevelType w:val="multilevel"/>
    <w:tmpl w:val="8FF66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5" w15:restartNumberingAfterBreak="0">
    <w:nsid w:val="510323E7"/>
    <w:multiLevelType w:val="multilevel"/>
    <w:tmpl w:val="312859D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181742547">
    <w:abstractNumId w:val="0"/>
  </w:num>
  <w:num w:numId="2" w16cid:durableId="1173035023">
    <w:abstractNumId w:val="5"/>
  </w:num>
  <w:num w:numId="3" w16cid:durableId="1917737865">
    <w:abstractNumId w:val="2"/>
  </w:num>
  <w:num w:numId="4" w16cid:durableId="252663790">
    <w:abstractNumId w:val="3"/>
  </w:num>
  <w:num w:numId="5" w16cid:durableId="496959841">
    <w:abstractNumId w:val="4"/>
  </w:num>
  <w:num w:numId="6" w16cid:durableId="8677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EB0"/>
    <w:rsid w:val="00234E41"/>
    <w:rsid w:val="003843AF"/>
    <w:rsid w:val="00432FBF"/>
    <w:rsid w:val="00542EB0"/>
    <w:rsid w:val="00652CC3"/>
    <w:rsid w:val="0070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29E8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wz/kso+ZLNE4NQhbZxVCojXxCw==">CgMxLjA4AHIhMWU0THN0UElkeU5mTGpsa0VaOU5tckNvY1pLZFF1NkZS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1742</Words>
  <Characters>10455</Characters>
  <Application>Microsoft Office Word</Application>
  <DocSecurity>0</DocSecurity>
  <Lines>87</Lines>
  <Paragraphs>24</Paragraphs>
  <ScaleCrop>false</ScaleCrop>
  <Company/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4</cp:revision>
  <dcterms:created xsi:type="dcterms:W3CDTF">2026-03-11T21:39:00Z</dcterms:created>
  <dcterms:modified xsi:type="dcterms:W3CDTF">2026-03-11T21:41:00Z</dcterms:modified>
</cp:coreProperties>
</file>