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1BD4" w14:textId="77777777" w:rsidR="00C5359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4F674DBC" wp14:editId="491DF6F8">
            <wp:simplePos x="0" y="0"/>
            <wp:positionH relativeFrom="column">
              <wp:posOffset>-361949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006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535"/>
        <w:gridCol w:w="1276"/>
        <w:gridCol w:w="105"/>
        <w:gridCol w:w="1366"/>
        <w:gridCol w:w="2075"/>
        <w:gridCol w:w="352"/>
        <w:gridCol w:w="489"/>
        <w:gridCol w:w="998"/>
        <w:gridCol w:w="32"/>
        <w:gridCol w:w="1314"/>
      </w:tblGrid>
      <w:tr w:rsidR="00C5359D" w14:paraId="6920FD10" w14:textId="77777777">
        <w:trPr>
          <w:trHeight w:val="567"/>
          <w:jc w:val="center"/>
        </w:trPr>
        <w:tc>
          <w:tcPr>
            <w:tcW w:w="10061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05FD7FEB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C5359D" w14:paraId="5C4BF9BE" w14:textId="77777777">
        <w:trPr>
          <w:trHeight w:val="567"/>
          <w:jc w:val="center"/>
        </w:trPr>
        <w:tc>
          <w:tcPr>
            <w:tcW w:w="10061" w:type="dxa"/>
            <w:gridSpan w:val="11"/>
            <w:shd w:val="clear" w:color="auto" w:fill="FFFFFF"/>
            <w:vAlign w:val="center"/>
          </w:tcPr>
          <w:p w14:paraId="31992C79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Dziedzina nauk społecznych; dyscyplina: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psychologia</w:t>
            </w:r>
          </w:p>
        </w:tc>
      </w:tr>
      <w:tr w:rsidR="00C5359D" w14:paraId="202497DC" w14:textId="77777777">
        <w:trPr>
          <w:trHeight w:val="567"/>
          <w:jc w:val="center"/>
        </w:trPr>
        <w:tc>
          <w:tcPr>
            <w:tcW w:w="3330" w:type="dxa"/>
            <w:gridSpan w:val="3"/>
            <w:vAlign w:val="center"/>
          </w:tcPr>
          <w:p w14:paraId="69B8DB6B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731" w:type="dxa"/>
            <w:gridSpan w:val="8"/>
            <w:vAlign w:val="center"/>
          </w:tcPr>
          <w:p w14:paraId="73C67933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Wykład, </w:t>
            </w:r>
            <w:r>
              <w:rPr>
                <w:rFonts w:ascii="Times New Roman" w:eastAsia="Times New Roman" w:hAnsi="Times New Roman" w:cs="Times New Roman"/>
              </w:rPr>
              <w:t>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wiczenia</w:t>
            </w:r>
          </w:p>
        </w:tc>
      </w:tr>
      <w:tr w:rsidR="00C5359D" w14:paraId="2CBAB82D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36E28FFD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Prowadzący: </w:t>
            </w:r>
          </w:p>
        </w:tc>
      </w:tr>
      <w:tr w:rsidR="00C5359D" w14:paraId="15D3A58D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123852F8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C5359D" w14:paraId="7A3ABD75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7382C133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C5359D" w14:paraId="325FF459" w14:textId="77777777">
        <w:trPr>
          <w:trHeight w:val="567"/>
          <w:jc w:val="center"/>
        </w:trPr>
        <w:tc>
          <w:tcPr>
            <w:tcW w:w="10061" w:type="dxa"/>
            <w:gridSpan w:val="11"/>
            <w:tcBorders>
              <w:bottom w:val="single" w:sz="4" w:space="0" w:color="000000"/>
            </w:tcBorders>
            <w:vAlign w:val="center"/>
          </w:tcPr>
          <w:p w14:paraId="3A831C21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52DAE3BF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C5359D" w14:paraId="45E9BC66" w14:textId="77777777">
        <w:trPr>
          <w:trHeight w:val="567"/>
          <w:jc w:val="center"/>
        </w:trPr>
        <w:tc>
          <w:tcPr>
            <w:tcW w:w="10061" w:type="dxa"/>
            <w:gridSpan w:val="11"/>
            <w:tcBorders>
              <w:bottom w:val="single" w:sz="4" w:space="0" w:color="000000"/>
            </w:tcBorders>
            <w:vAlign w:val="center"/>
          </w:tcPr>
          <w:p w14:paraId="262DCBA2" w14:textId="77777777" w:rsidR="00C5359D" w:rsidRDefault="00000000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120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PSYCHOLOGIA SĄDOWA</w:t>
            </w:r>
          </w:p>
        </w:tc>
      </w:tr>
      <w:tr w:rsidR="00C5359D" w14:paraId="1EEE7843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32ED77E3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5B1D0958" w14:textId="77777777" w:rsidR="00C5359D" w:rsidRDefault="00000000">
            <w:pPr>
              <w:pStyle w:val="Nagwek3"/>
              <w:keepNext w:val="0"/>
              <w:tabs>
                <w:tab w:val="left" w:pos="900"/>
              </w:tabs>
              <w:spacing w:before="0" w:after="0"/>
              <w:ind w:left="0" w:hanging="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heading=h.z5uqequ9bz7q" w:colFirst="0" w:colLast="0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Wykłady</w:t>
            </w:r>
          </w:p>
          <w:p w14:paraId="03FC528F" w14:textId="77777777" w:rsidR="00C5359D" w:rsidRDefault="00000000">
            <w:pPr>
              <w:pStyle w:val="Nagwek3"/>
              <w:keepNext w:val="0"/>
              <w:tabs>
                <w:tab w:val="left" w:pos="900"/>
              </w:tabs>
              <w:spacing w:before="0" w:after="0"/>
              <w:ind w:left="0" w:hanging="2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1" w:name="_heading=h.nd99ow6ghwhj" w:colFirst="0" w:colLast="0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C1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Pogłębienie i uporządkowanie wiedzy dotyczącej psychologicznych uwarunkowań zachowań przestępczych oraz funkcjonowania sprawców i osób nieletnich zagrożonych demoralizacją, z uwzględnieniem perspektywy psychopatologicznej, rodzinnej i instytucjonalnej (resocjalizacja/penitencjarystyka) oraz kontekstu interdyscyplinarnego.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C2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Krytyczna analiza zakresu, możliwości i ograniczeń psychologicznej ekspertyzy sądowej w sprawach karnych (dorośli i nieletni), w tym interpretacja konsekwencji psychologicznych i proceduralnych wynikających z diagnozy oraz sposobu wykorzystania opinii w praktyce wymiaru sprawiedliwości.</w:t>
            </w:r>
          </w:p>
          <w:p w14:paraId="01F7E669" w14:textId="77777777" w:rsidR="00C5359D" w:rsidRDefault="00000000">
            <w:pPr>
              <w:pStyle w:val="Nagwek3"/>
              <w:keepNext w:val="0"/>
              <w:tabs>
                <w:tab w:val="left" w:pos="900"/>
              </w:tabs>
              <w:spacing w:before="0" w:after="0"/>
              <w:ind w:left="0" w:hanging="2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bookmarkStart w:id="2" w:name="_heading=h.7n1pnhepu7wv" w:colFirst="0" w:colLast="0"/>
            <w:bookmarkEnd w:id="2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C3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Pogłębienie rozumienia mechanizmów poznawczych istotnych w kontekście zeznań (spostrzeganie, pamięć, odtwarzanie informacji) oraz interpretacja ich znaczenia dla wiarygodności relacji świadków, w tym analizy przyczyn i uwarunkowań zeznań nieprawdziwych. </w:t>
            </w:r>
          </w:p>
          <w:p w14:paraId="1E4EEEF0" w14:textId="77777777" w:rsidR="00C5359D" w:rsidRDefault="00C5359D">
            <w:pPr>
              <w:tabs>
                <w:tab w:val="left" w:pos="900"/>
              </w:tabs>
              <w:ind w:left="0" w:hanging="2"/>
            </w:pPr>
          </w:p>
          <w:p w14:paraId="553127C8" w14:textId="77777777" w:rsidR="00C5359D" w:rsidRDefault="00000000">
            <w:pPr>
              <w:pStyle w:val="Nagwek3"/>
              <w:keepNext w:val="0"/>
              <w:tabs>
                <w:tab w:val="left" w:pos="900"/>
              </w:tabs>
              <w:spacing w:before="0" w:after="0" w:line="276" w:lineRule="auto"/>
              <w:ind w:left="0" w:hanging="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" w:name="_heading=h.1kobld847oni" w:colFirst="0" w:colLast="0"/>
            <w:bookmarkEnd w:id="3"/>
            <w:r>
              <w:rPr>
                <w:rFonts w:ascii="Times New Roman" w:hAnsi="Times New Roman" w:cs="Times New Roman"/>
                <w:sz w:val="22"/>
                <w:szCs w:val="22"/>
              </w:rPr>
              <w:t>Ćwiczenia</w:t>
            </w:r>
          </w:p>
          <w:p w14:paraId="59D01625" w14:textId="77777777" w:rsidR="00C5359D" w:rsidRDefault="00000000">
            <w:pPr>
              <w:pStyle w:val="Nagwek3"/>
              <w:keepNext w:val="0"/>
              <w:tabs>
                <w:tab w:val="left" w:pos="900"/>
              </w:tabs>
              <w:spacing w:before="0" w:line="276" w:lineRule="auto"/>
              <w:ind w:left="0" w:hanging="2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2"/>
                <w:szCs w:val="22"/>
              </w:rPr>
            </w:pPr>
            <w:bookmarkStart w:id="4" w:name="_heading=h.s0vtn7n5mhfd" w:colFirst="0" w:colLast="0"/>
            <w:bookmarkEnd w:id="4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C1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Rozwijanie umiejętności analizy i interpretacji materiału procesowego oraz studiów przypadków z obszaru psychologii sądowej, w tym formułowania uzasadnionych wniosków dotyczących zagadnień procesowych i sytuacji badanych osób.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C2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Doskonalenie umiejętności projektowania i uzasadniania elementów postępowania diagnostyczno-opiniodawczego (cel–metody–ograniczenia–wnioski) zgodnie ze standardami pracy psychologa sądowego, z równoczesnym rozpoznawaniem dylematów opiniodawczych i wymogów rzetelnej argumentacji.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C3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Kształtowanie odpowiedzialnej i bezstronnej postawy zawodowej w praktyce wymiaru sprawiedliwości: krytyczne monitorowanie ryzyka stereotypizacji/stronniczości w interpretacji danych oraz doskonalenie komunikacji profesjonalnej i etycznej w sytuacjach współpracy z instytucjami.</w:t>
            </w:r>
          </w:p>
        </w:tc>
      </w:tr>
      <w:tr w:rsidR="00C5359D" w14:paraId="360879CB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3D886E9E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C5359D" w14:paraId="57D0E3CC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7E3524C7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C5359D" w14:paraId="50F3B3F6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03BFEC8B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Metody kształcenia:</w:t>
            </w:r>
          </w:p>
          <w:p w14:paraId="74E24564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  <w:r>
              <w:rPr>
                <w:rFonts w:ascii="Times New Roman" w:eastAsia="Times New Roman" w:hAnsi="Times New Roman" w:cs="Times New Roman"/>
              </w:rPr>
              <w:t xml:space="preserve"> (prezentacje multimedialne, tablica/flipchart, schematy/diagramy, krótkie materiały wideo dydaktyczne) (Pd1, Pd2)</w:t>
            </w:r>
          </w:p>
          <w:p w14:paraId="278D16AC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Dyskusja </w:t>
            </w:r>
            <w:r>
              <w:rPr>
                <w:rFonts w:ascii="Times New Roman" w:eastAsia="Times New Roman" w:hAnsi="Times New Roman" w:cs="Times New Roman"/>
              </w:rPr>
              <w:t>(studia przypadków, pytania problemowe, fragmenty materiału procesowego do omówienia, karty argumentów „za/przeciw”) (Pd3, Pd4)</w:t>
            </w:r>
          </w:p>
          <w:p w14:paraId="6AAB9C5F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Analiza literatury przedmiotu</w:t>
            </w:r>
            <w:r>
              <w:rPr>
                <w:rFonts w:ascii="Times New Roman" w:eastAsia="Times New Roman" w:hAnsi="Times New Roman" w:cs="Times New Roman"/>
              </w:rPr>
              <w:t xml:space="preserve"> (monografie, artykuły recenzowane, standardy i rekomendacje zawodowe, fragmenty raportów/opracowań tematycznych, checklisty krytycznej oceny źródeł) (Pd2, Pd5)</w:t>
            </w:r>
          </w:p>
          <w:p w14:paraId="549AEB30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Ćwiczenia </w:t>
            </w:r>
            <w:r>
              <w:rPr>
                <w:rFonts w:ascii="Times New Roman" w:eastAsia="Times New Roman" w:hAnsi="Times New Roman" w:cs="Times New Roman"/>
              </w:rPr>
              <w:t>(studia przypadków, fragmenty materiału procesowego, arkusze analizy, szablon opinii psychologicznej, rubryki oceny, symulacje/role-play) (Pd3, Pd6)</w:t>
            </w:r>
          </w:p>
          <w:p w14:paraId="563D61E2" w14:textId="77777777" w:rsidR="00C5359D" w:rsidRDefault="00C53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  <w:p w14:paraId="0BE105F4" w14:textId="77777777" w:rsidR="00C5359D" w:rsidRDefault="00000000">
            <w:pPr>
              <w:pStyle w:val="Nagwek3"/>
              <w:keepNext w:val="0"/>
              <w:spacing w:before="0" w:after="0" w:line="276" w:lineRule="auto"/>
              <w:ind w:left="0" w:hanging="2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_heading=h.iv3gawf8usst" w:colFirst="0" w:colLast="0"/>
            <w:bookmarkEnd w:id="5"/>
            <w:r>
              <w:rPr>
                <w:rFonts w:ascii="Times New Roman" w:hAnsi="Times New Roman" w:cs="Times New Roman"/>
                <w:sz w:val="22"/>
                <w:szCs w:val="22"/>
              </w:rPr>
              <w:t>Pomoce dydaktyczne:</w:t>
            </w:r>
          </w:p>
          <w:p w14:paraId="52AE15DD" w14:textId="77777777" w:rsidR="00C5359D" w:rsidRDefault="00000000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 Prezentacje multimedialne</w:t>
            </w:r>
          </w:p>
          <w:p w14:paraId="7B89B046" w14:textId="77777777" w:rsidR="00C5359D" w:rsidRDefault="00000000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Pd2 Monografie i artykuły recenzowane</w:t>
            </w:r>
          </w:p>
          <w:p w14:paraId="6C3C6A55" w14:textId="77777777" w:rsidR="00C5359D" w:rsidRDefault="00000000">
            <w:pPr>
              <w:ind w:left="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Pd3 Studia przypadków i pytania problemowe</w:t>
            </w:r>
          </w:p>
          <w:p w14:paraId="64C83749" w14:textId="77777777" w:rsidR="00C5359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Pd4 Materiał procesowy do omówienia, </w:t>
            </w:r>
            <w:r>
              <w:rPr>
                <w:rFonts w:ascii="Times New Roman" w:eastAsia="Times New Roman" w:hAnsi="Times New Roman" w:cs="Times New Roman"/>
              </w:rPr>
              <w:t>karty argumentów „za/przeciw”</w:t>
            </w:r>
          </w:p>
          <w:p w14:paraId="6FFDE7D3" w14:textId="77777777" w:rsidR="00C5359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Pd5 Standardy i rekomendacje zawodowe,</w:t>
            </w:r>
            <w:r>
              <w:rPr>
                <w:rFonts w:ascii="Times New Roman" w:eastAsia="Times New Roman" w:hAnsi="Times New Roman" w:cs="Times New Roman"/>
              </w:rPr>
              <w:t xml:space="preserve"> fragmenty raportów/opracowań tematycznych</w:t>
            </w:r>
          </w:p>
          <w:p w14:paraId="7AB3709A" w14:textId="77777777" w:rsidR="00C5359D" w:rsidRDefault="00000000">
            <w:pPr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Pd6 Arkusze analizy, szablon opinii psychologicznej, rubryki oceny  </w:t>
            </w:r>
          </w:p>
        </w:tc>
      </w:tr>
      <w:tr w:rsidR="00C5359D" w14:paraId="75627E6F" w14:textId="77777777">
        <w:trPr>
          <w:trHeight w:val="273"/>
          <w:jc w:val="center"/>
        </w:trPr>
        <w:tc>
          <w:tcPr>
            <w:tcW w:w="10061" w:type="dxa"/>
            <w:gridSpan w:val="11"/>
            <w:shd w:val="clear" w:color="auto" w:fill="DBE5F1"/>
            <w:vAlign w:val="center"/>
          </w:tcPr>
          <w:p w14:paraId="304BD37D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kształcenia (treści nauczania)</w:t>
            </w:r>
          </w:p>
          <w:p w14:paraId="67FD2432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C5359D" w14:paraId="37B2C5F6" w14:textId="77777777">
        <w:trPr>
          <w:trHeight w:val="1266"/>
          <w:jc w:val="center"/>
        </w:trPr>
        <w:tc>
          <w:tcPr>
            <w:tcW w:w="10061" w:type="dxa"/>
            <w:gridSpan w:val="11"/>
          </w:tcPr>
          <w:p w14:paraId="5E995438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</w:t>
            </w:r>
          </w:p>
          <w:p w14:paraId="3B40D7C3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Podstawowe problemy psychologii sądowej – </w:t>
            </w:r>
            <w:r>
              <w:rPr>
                <w:rFonts w:ascii="Times New Roman" w:eastAsia="Times New Roman" w:hAnsi="Times New Roman" w:cs="Times New Roman"/>
              </w:rPr>
              <w:t>definicje i przedmiot badań psychologii sądowej (porządkowanie pojęć, zakresu i ograniczeń dyscypliny w praktyce wymiaru sprawiedliwości).</w:t>
            </w:r>
          </w:p>
          <w:p w14:paraId="41A23180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Psychologia sądowa w systemie nauk pokrewnych</w:t>
            </w:r>
            <w:r>
              <w:rPr>
                <w:rFonts w:ascii="Times New Roman" w:eastAsia="Times New Roman" w:hAnsi="Times New Roman" w:cs="Times New Roman"/>
              </w:rPr>
              <w:t xml:space="preserve"> (analiza relacji i komplementarności z prawem, kryminologią, socjologią, pedagogiką i medycyną).</w:t>
            </w:r>
          </w:p>
          <w:p w14:paraId="0651D74A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Rys historyczny psychologii sądowej – </w:t>
            </w:r>
            <w:r>
              <w:rPr>
                <w:rFonts w:ascii="Times New Roman" w:eastAsia="Times New Roman" w:hAnsi="Times New Roman" w:cs="Times New Roman"/>
              </w:rPr>
              <w:t>historia rozwoju dziedziny w kontekście sądowym (interpretacja ewolucji zastosowań, standardów i zmian paradygmatów).</w:t>
            </w:r>
          </w:p>
          <w:p w14:paraId="0CBCF8EB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Problemy etyczne opiniodawstwa sądowego –</w:t>
            </w:r>
            <w:r>
              <w:rPr>
                <w:rFonts w:ascii="Times New Roman" w:eastAsia="Times New Roman" w:hAnsi="Times New Roman" w:cs="Times New Roman"/>
              </w:rPr>
              <w:t xml:space="preserve"> zagadnienia etyczne w pracy psychologa sądowego; główne teorie przyczyn przestępczości (krytyczna analiza dylematów, ryzyk stronniczości oraz powiązanie z teoriami wyjaśniającymi przestępczość).</w:t>
            </w:r>
          </w:p>
          <w:p w14:paraId="48A60A57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Osobowościowe i sytuacyjne uwarunkowania zachowań asocjalnych i przestępczych </w:t>
            </w:r>
            <w:r>
              <w:rPr>
                <w:rFonts w:ascii="Times New Roman" w:eastAsia="Times New Roman" w:hAnsi="Times New Roman" w:cs="Times New Roman"/>
              </w:rPr>
              <w:t>– czynniki indywidualne i środowiskowe wpływające na przestępczość (integracja ujęć i wnioskowanie o mechanizmach ryzyka/ochrony).</w:t>
            </w:r>
          </w:p>
          <w:p w14:paraId="24E78393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Opiniowanie psychologiczne w sprawach sądowych </w:t>
            </w:r>
            <w:r>
              <w:rPr>
                <w:rFonts w:ascii="Times New Roman" w:eastAsia="Times New Roman" w:hAnsi="Times New Roman" w:cs="Times New Roman"/>
              </w:rPr>
              <w:t>– sprawy karne dorosłych; sprawy karne nieletnich (analiza specyfiki opiniowania w zależności od wieku, kontekstu rozwojowego i rodzaju problemu procesowego).</w:t>
            </w:r>
          </w:p>
          <w:p w14:paraId="60AF5B51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Opiniowanie w sprawach rodzinnych i opiekuńczych </w:t>
            </w:r>
            <w:r>
              <w:rPr>
                <w:rFonts w:ascii="Times New Roman" w:eastAsia="Times New Roman" w:hAnsi="Times New Roman" w:cs="Times New Roman"/>
              </w:rPr>
              <w:t>– rola psychologa w postępowaniach rodzinnych (interpretacja kryteriów oceny, granic kompetencji i konsekwencji rekomendacji).</w:t>
            </w:r>
          </w:p>
          <w:p w14:paraId="424F261E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Taktyki przesłuchań i wartość zeznań</w:t>
            </w:r>
            <w:r>
              <w:rPr>
                <w:rFonts w:ascii="Times New Roman" w:eastAsia="Times New Roman" w:hAnsi="Times New Roman" w:cs="Times New Roman"/>
              </w:rPr>
              <w:t xml:space="preserve"> – kłamstwo i zeznania nieszczere (ocena wiarygodności, warunków pozyskiwania relacji i ograniczeń wskaźników nieszczerości).</w:t>
            </w:r>
          </w:p>
          <w:p w14:paraId="717611C1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Niepsychologiczne metody badania świadków –</w:t>
            </w:r>
            <w:r>
              <w:rPr>
                <w:rFonts w:ascii="Times New Roman" w:eastAsia="Times New Roman" w:hAnsi="Times New Roman" w:cs="Times New Roman"/>
              </w:rPr>
              <w:t xml:space="preserve"> kryminogenne zjawiska patologii społecznej: alkoholizm, narkomania, przemoc (krytyczna ocena użyteczności metod pozapsychologicznych oraz analiza wpływu patologii na funkcjonowanie i ryzyko).</w:t>
            </w:r>
          </w:p>
          <w:p w14:paraId="5994168B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Przemoc w rodzinie i na terenie szkoły </w:t>
            </w:r>
            <w:r>
              <w:rPr>
                <w:rFonts w:ascii="Times New Roman" w:eastAsia="Times New Roman" w:hAnsi="Times New Roman" w:cs="Times New Roman"/>
              </w:rPr>
              <w:t>– podkultura i subkultura a przemoc (analiza mechanizmów przemocy, dynamiki relacji i roli norm grupowych).</w:t>
            </w:r>
          </w:p>
          <w:p w14:paraId="2131AF09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Ekspertyza sądowa </w:t>
            </w:r>
            <w:r>
              <w:rPr>
                <w:rFonts w:ascii="Times New Roman" w:eastAsia="Times New Roman" w:hAnsi="Times New Roman" w:cs="Times New Roman"/>
              </w:rPr>
              <w:t>– rola i zadania biegłego w postępowaniu sądowym (standardy pracy, odpowiedzialność i ryzyka błędu w opiniowaniu).</w:t>
            </w:r>
          </w:p>
          <w:p w14:paraId="0A14AC43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Rola ofiary w popełnieniu przestępstwa </w:t>
            </w:r>
            <w:r>
              <w:rPr>
                <w:rFonts w:ascii="Times New Roman" w:eastAsia="Times New Roman" w:hAnsi="Times New Roman" w:cs="Times New Roman"/>
              </w:rPr>
              <w:t>– wiktymologia: analiza roli ofiary (interpretacja zależności sprawca–ofiara i implikacji dla postępowania).</w:t>
            </w:r>
          </w:p>
          <w:p w14:paraId="56213E76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Podstawowe zagadnienia psychologii zeznań świadków </w:t>
            </w:r>
            <w:r>
              <w:rPr>
                <w:rFonts w:ascii="Times New Roman" w:eastAsia="Times New Roman" w:hAnsi="Times New Roman" w:cs="Times New Roman"/>
              </w:rPr>
              <w:t>– proces zapamiętywania i odtwarzania informacji przez świadków (rekonstrukcyjność pamięci, podatność na sugestię i konsekwencje dla oceny zeznań).</w:t>
            </w:r>
          </w:p>
          <w:p w14:paraId="54661094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i warunki diagnozy dla celów sądowych</w:t>
            </w:r>
            <w:r>
              <w:rPr>
                <w:rFonts w:ascii="Times New Roman" w:eastAsia="Times New Roman" w:hAnsi="Times New Roman" w:cs="Times New Roman"/>
              </w:rPr>
              <w:t xml:space="preserve"> – diagnoza w sprawach karnych i opiekuńczych (dobór metod, trafność/rzetelność, kontrola stronniczości i ograniczeń interpretacyjnych).</w:t>
            </w:r>
          </w:p>
          <w:p w14:paraId="6A96E431" w14:textId="77777777" w:rsidR="00C5359D" w:rsidRDefault="00C53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9BD1141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  <w:p w14:paraId="254BC235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Mechanizmy zachowania przestępczego –</w:t>
            </w:r>
            <w:r>
              <w:rPr>
                <w:rFonts w:ascii="Times New Roman" w:eastAsia="Times New Roman" w:hAnsi="Times New Roman" w:cs="Times New Roman"/>
              </w:rPr>
              <w:t xml:space="preserve"> analiza przyczyn i czynników ryzyka związanych z zaburzeniami zachowania (praca na studiach przypadków, identyfikacja czynników i formułowanie wniosków).</w:t>
            </w:r>
          </w:p>
          <w:p w14:paraId="66662BB1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Dysfunkcje w zachowaniu nieletnich –</w:t>
            </w:r>
            <w:r>
              <w:rPr>
                <w:rFonts w:ascii="Times New Roman" w:eastAsia="Times New Roman" w:hAnsi="Times New Roman" w:cs="Times New Roman"/>
              </w:rPr>
              <w:t xml:space="preserve"> praktyczne podejście do diagnozowania i interwencji w przypadku nieletnich z zaburzeniami zachowania (dobór działań i ocena ich adekwatności w kontekście rozwojowym).</w:t>
            </w:r>
          </w:p>
          <w:p w14:paraId="78A7073B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Psychologia policyjna </w:t>
            </w:r>
            <w:r>
              <w:rPr>
                <w:rFonts w:ascii="Times New Roman" w:eastAsia="Times New Roman" w:hAnsi="Times New Roman" w:cs="Times New Roman"/>
              </w:rPr>
              <w:t>– praktyczne zagadnienia: ocena stresu, skuteczna komunikacja i negocjacje (analiza sytuacji, ćwiczenia kompetencji i kryteria skuteczności).</w:t>
            </w:r>
          </w:p>
          <w:p w14:paraId="3ACD4BC9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Psychologia kryminalistyczna </w:t>
            </w:r>
            <w:r>
              <w:rPr>
                <w:rFonts w:ascii="Times New Roman" w:eastAsia="Times New Roman" w:hAnsi="Times New Roman" w:cs="Times New Roman"/>
              </w:rPr>
              <w:t>– praca z materiałem dowodowym, profilowanie sprawców, interpretacja zachowań kryminalnych (wnioskowanie na podstawie danych i ograniczenia interpretacyjne).</w:t>
            </w:r>
          </w:p>
          <w:p w14:paraId="70E1207A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Praktyczne aspekty opiniowania psychologicznego </w:t>
            </w:r>
            <w:r>
              <w:rPr>
                <w:rFonts w:ascii="Times New Roman" w:eastAsia="Times New Roman" w:hAnsi="Times New Roman" w:cs="Times New Roman"/>
              </w:rPr>
              <w:t>– sporządzanie opinii psychologicznych na podstawie przypadków (struktura, argumentacja, wnioski i kontrola błędów).</w:t>
            </w:r>
          </w:p>
          <w:p w14:paraId="07A7ECF2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Analiza przypadków patologii społecznej </w:t>
            </w:r>
            <w:r>
              <w:rPr>
                <w:rFonts w:ascii="Times New Roman" w:eastAsia="Times New Roman" w:hAnsi="Times New Roman" w:cs="Times New Roman"/>
              </w:rPr>
              <w:t>– alkoholizm, narkomania, przemoc w rodzinie i wpływ na funkcjonowanie społeczne (interpretacja mechanizmów, skutków i ryzyk).</w:t>
            </w:r>
          </w:p>
          <w:p w14:paraId="5039C6DF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Praktyczne metody przesłuchań świadków</w:t>
            </w:r>
            <w:r>
              <w:rPr>
                <w:rFonts w:ascii="Times New Roman" w:eastAsia="Times New Roman" w:hAnsi="Times New Roman" w:cs="Times New Roman"/>
              </w:rPr>
              <w:t xml:space="preserve"> – ćwiczenie technik przesłuchań i analiza wartości zeznań (symulacje, ocena jakości informacji i ryzyka sugestii).</w:t>
            </w:r>
          </w:p>
          <w:p w14:paraId="538F3360" w14:textId="77777777" w:rsidR="00C5359D" w:rsidRDefault="00000000">
            <w:pPr>
              <w:numPr>
                <w:ilvl w:val="0"/>
                <w:numId w:val="3"/>
              </w:numPr>
              <w:ind w:left="0" w:hanging="2"/>
              <w:rPr>
                <w:rFonts w:ascii="Book Antiqua" w:eastAsia="Book Antiqua" w:hAnsi="Book Antiqua" w:cs="Book Antiq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Rola biegłego w praktyce </w:t>
            </w:r>
            <w:r>
              <w:rPr>
                <w:rFonts w:ascii="Times New Roman" w:eastAsia="Times New Roman" w:hAnsi="Times New Roman" w:cs="Times New Roman"/>
              </w:rPr>
              <w:t>– symulacje sytuacji związanych z występowaniem jako biegły w sprawach sądowych (rola, komunikacja, etyka, odpowiedzialność i granice kompetencji).</w:t>
            </w:r>
          </w:p>
        </w:tc>
      </w:tr>
      <w:tr w:rsidR="00C5359D" w14:paraId="2EF3609E" w14:textId="77777777">
        <w:trPr>
          <w:trHeight w:val="704"/>
          <w:jc w:val="center"/>
        </w:trPr>
        <w:tc>
          <w:tcPr>
            <w:tcW w:w="10061" w:type="dxa"/>
            <w:gridSpan w:val="11"/>
            <w:vAlign w:val="center"/>
          </w:tcPr>
          <w:p w14:paraId="60615145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podstawowa:</w:t>
            </w:r>
          </w:p>
          <w:p w14:paraId="1077BB48" w14:textId="77777777" w:rsidR="00C5359D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Rode, D., Dukała, K., Kabzińska, J., &amp; Zalewska-Łunkiewicz, K. (2020). Kliniczna psychologia sądowa. Wydawnictwo Naukowe PWN.</w:t>
            </w:r>
          </w:p>
          <w:p w14:paraId="5C586C42" w14:textId="77777777" w:rsidR="00C5359D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Stanik Jan M.: Psychologia sądowa: podstawy, badania, aplikacje. Warszawa 2013, PWN</w:t>
            </w:r>
          </w:p>
          <w:p w14:paraId="473DF52B" w14:textId="77777777" w:rsidR="00C5359D" w:rsidRDefault="0000000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Pływaczewski Emil W., Jurgielewicz-Delegacz Emilia, Dajnowicz-Piesiecka Diana: Współczesna przestępczość i patologie społeczne z perspektywy interdyscyplinarnych badań kryminologicznych. Warszawa 2017 C.H.Beck</w:t>
            </w:r>
          </w:p>
        </w:tc>
      </w:tr>
      <w:tr w:rsidR="00C5359D" w14:paraId="294AB277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49CE59C0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Literatura uzupełniająca</w:t>
            </w:r>
          </w:p>
          <w:p w14:paraId="0C55F81D" w14:textId="77777777" w:rsidR="00C5359D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Pastwa-Wojciechowska, B. (2013). Psychopaci sprawcy przestępstw seksualnych. Grupa Wydawnicza Harmonia.</w:t>
            </w:r>
          </w:p>
          <w:p w14:paraId="591C3073" w14:textId="77777777" w:rsidR="00C5359D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Gierowski Józef K., Jaskiewicz-Obydzińska Teresa, Najda Magdalena: Psychologia w postępowaniu karnym. Warszawa 2010 LexisNexis</w:t>
            </w:r>
          </w:p>
          <w:p w14:paraId="297B834C" w14:textId="77777777" w:rsidR="00C5359D" w:rsidRDefault="0000000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Jerzewska Jolanta: Od oględzin do opinii biegłego : poradnik dla prowadzących postępowanie karne. Warszawa 2005. Dom Wydawniczy ABC.</w:t>
            </w:r>
          </w:p>
          <w:p w14:paraId="0268B415" w14:textId="77777777" w:rsidR="00C5359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Marten Zbigniew: Psychologia zeznań. Warszawa 2012 LexisNexis</w:t>
            </w:r>
          </w:p>
          <w:p w14:paraId="05D14952" w14:textId="77777777" w:rsidR="00C5359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Marten Zbigniew: Psychologia w pracy sędziego. Sosnowiec 2009 Oficyna Wydawnicza „Humanitas”.</w:t>
            </w:r>
          </w:p>
          <w:p w14:paraId="48F69167" w14:textId="77777777" w:rsidR="00C5359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Urban Bronisław: Zachowania dewiacyjne młodzieży w interakcjach rówieśniczych. Kraków 2005, Wydawnictwo UJ</w:t>
            </w:r>
          </w:p>
          <w:p w14:paraId="3634F93F" w14:textId="77777777" w:rsidR="00C5359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E76596">
              <w:rPr>
                <w:rFonts w:ascii="Times New Roman" w:eastAsia="Times New Roman" w:hAnsi="Times New Roman" w:cs="Times New Roman"/>
                <w:lang w:val="en-US"/>
              </w:rPr>
              <w:t xml:space="preserve">Bartol, C. R., &amp; Bartol, A. M. (2018). Introduction to Forensic Psychology: Research and Application. </w:t>
            </w:r>
            <w:r>
              <w:rPr>
                <w:rFonts w:ascii="Times New Roman" w:eastAsia="Times New Roman" w:hAnsi="Times New Roman" w:cs="Times New Roman"/>
              </w:rPr>
              <w:t>SAGE.</w:t>
            </w:r>
          </w:p>
        </w:tc>
      </w:tr>
      <w:tr w:rsidR="00C5359D" w14:paraId="7813C9C2" w14:textId="77777777">
        <w:trPr>
          <w:trHeight w:val="567"/>
          <w:jc w:val="center"/>
        </w:trPr>
        <w:tc>
          <w:tcPr>
            <w:tcW w:w="10061" w:type="dxa"/>
            <w:gridSpan w:val="11"/>
            <w:vAlign w:val="center"/>
          </w:tcPr>
          <w:p w14:paraId="31AD4B22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60283144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ocena aktywności na zajęciach</w:t>
            </w:r>
          </w:p>
          <w:p w14:paraId="00F6D659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P1-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projekt zaliczeniowy</w:t>
            </w:r>
          </w:p>
          <w:p w14:paraId="1889C33D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– egzamin testowy</w:t>
            </w:r>
          </w:p>
        </w:tc>
      </w:tr>
      <w:tr w:rsidR="00C5359D" w14:paraId="6C7B5456" w14:textId="77777777">
        <w:trPr>
          <w:trHeight w:val="572"/>
          <w:jc w:val="center"/>
        </w:trPr>
        <w:tc>
          <w:tcPr>
            <w:tcW w:w="2054" w:type="dxa"/>
            <w:gridSpan w:val="2"/>
            <w:vAlign w:val="center"/>
          </w:tcPr>
          <w:p w14:paraId="2A301193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8007" w:type="dxa"/>
            <w:gridSpan w:val="9"/>
            <w:vAlign w:val="center"/>
          </w:tcPr>
          <w:p w14:paraId="111EFA77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C5359D" w14:paraId="368716FF" w14:textId="77777777">
        <w:trPr>
          <w:trHeight w:val="572"/>
          <w:jc w:val="center"/>
        </w:trPr>
        <w:tc>
          <w:tcPr>
            <w:tcW w:w="2054" w:type="dxa"/>
            <w:gridSpan w:val="2"/>
            <w:vAlign w:val="center"/>
          </w:tcPr>
          <w:p w14:paraId="525F4E6B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</w:t>
            </w:r>
          </w:p>
        </w:tc>
        <w:tc>
          <w:tcPr>
            <w:tcW w:w="8007" w:type="dxa"/>
            <w:gridSpan w:val="9"/>
            <w:vAlign w:val="center"/>
          </w:tcPr>
          <w:p w14:paraId="2D503D5B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Aktywny udział w dyskusjach i analizie literatury przedmiotu.</w:t>
            </w:r>
          </w:p>
          <w:p w14:paraId="7A4EA7C5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Sprawdzian wiedzy teoretycznej obejmujący treści omawiane na wykładach – test jednokrotnego wyboru</w:t>
            </w:r>
          </w:p>
        </w:tc>
      </w:tr>
      <w:tr w:rsidR="00C5359D" w14:paraId="64FEA1CB" w14:textId="77777777">
        <w:trPr>
          <w:trHeight w:val="572"/>
          <w:jc w:val="center"/>
        </w:trPr>
        <w:tc>
          <w:tcPr>
            <w:tcW w:w="2054" w:type="dxa"/>
            <w:gridSpan w:val="2"/>
            <w:vAlign w:val="center"/>
          </w:tcPr>
          <w:p w14:paraId="7789F3CC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</w:t>
            </w:r>
          </w:p>
        </w:tc>
        <w:tc>
          <w:tcPr>
            <w:tcW w:w="8007" w:type="dxa"/>
            <w:gridSpan w:val="9"/>
            <w:vAlign w:val="center"/>
          </w:tcPr>
          <w:p w14:paraId="025ADE09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Obecność na co najmniej 80% zajęć ćwiczeniowych.</w:t>
            </w:r>
          </w:p>
          <w:p w14:paraId="7304BBBC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Udział w ćwiczeniach praktycznych, w tym analiza przypadków.</w:t>
            </w:r>
          </w:p>
          <w:p w14:paraId="17A30B8B" w14:textId="77777777" w:rsidR="00C5359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-  Przygotowanie i przedstawienie projektu, opinii psychologicznej lub analizy przypadku zgodnie z wytycznymi prowadzącego.</w:t>
            </w:r>
          </w:p>
        </w:tc>
      </w:tr>
      <w:tr w:rsidR="00C5359D" w14:paraId="5291703C" w14:textId="77777777">
        <w:trPr>
          <w:trHeight w:val="567"/>
          <w:jc w:val="center"/>
        </w:trPr>
        <w:tc>
          <w:tcPr>
            <w:tcW w:w="10061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1791E1D5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C5359D" w14:paraId="00BA3DDD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308B8F0E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8" w:type="dxa"/>
            <w:gridSpan w:val="7"/>
            <w:shd w:val="clear" w:color="auto" w:fill="D5DCE4"/>
            <w:vAlign w:val="center"/>
          </w:tcPr>
          <w:p w14:paraId="74FBDD15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344" w:type="dxa"/>
            <w:gridSpan w:val="3"/>
            <w:shd w:val="clear" w:color="auto" w:fill="D5DCE4"/>
            <w:vAlign w:val="center"/>
          </w:tcPr>
          <w:p w14:paraId="7D5D5607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C5359D" w14:paraId="597CFA84" w14:textId="77777777">
        <w:trPr>
          <w:trHeight w:val="546"/>
          <w:jc w:val="center"/>
        </w:trPr>
        <w:tc>
          <w:tcPr>
            <w:tcW w:w="10061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03E3E962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Wykłady</w:t>
            </w:r>
          </w:p>
        </w:tc>
      </w:tr>
      <w:tr w:rsidR="00C5359D" w14:paraId="3B64C033" w14:textId="77777777">
        <w:trPr>
          <w:trHeight w:val="546"/>
          <w:jc w:val="center"/>
        </w:trPr>
        <w:tc>
          <w:tcPr>
            <w:tcW w:w="1519" w:type="dxa"/>
          </w:tcPr>
          <w:p w14:paraId="2AA37BD8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8" w:type="dxa"/>
            <w:gridSpan w:val="7"/>
          </w:tcPr>
          <w:p w14:paraId="5CD2D88C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Posiada pogłębioną wiedzę o psychologicznych mechanizmach istotnych dla psychologii sądowej (m.in. spostrzeganie, pamięć, odtwarzanie informacji) oraz interpretuje ich znaczenie dla wiarygodności relacji świadków i wyjaśniania przyczyn nieprawdziwych zeznań.</w:t>
            </w:r>
          </w:p>
        </w:tc>
        <w:tc>
          <w:tcPr>
            <w:tcW w:w="2344" w:type="dxa"/>
            <w:gridSpan w:val="3"/>
          </w:tcPr>
          <w:p w14:paraId="2EF30071" w14:textId="152EDBFB" w:rsidR="00C5359D" w:rsidRDefault="00300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00FD5">
              <w:rPr>
                <w:rFonts w:ascii="Times New Roman" w:eastAsia="Times New Roman" w:hAnsi="Times New Roman" w:cs="Times New Roman"/>
                <w:color w:val="000000"/>
              </w:rPr>
              <w:t>K_W08, K_W15</w:t>
            </w:r>
          </w:p>
        </w:tc>
      </w:tr>
      <w:tr w:rsidR="00C5359D" w14:paraId="24F0E019" w14:textId="77777777">
        <w:trPr>
          <w:trHeight w:val="567"/>
          <w:jc w:val="center"/>
        </w:trPr>
        <w:tc>
          <w:tcPr>
            <w:tcW w:w="1519" w:type="dxa"/>
          </w:tcPr>
          <w:p w14:paraId="232E3381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8" w:type="dxa"/>
            <w:gridSpan w:val="7"/>
          </w:tcPr>
          <w:p w14:paraId="3E7AA093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Analizuje i wyjaśnia psychologiczne uwarunkowania zachowań przestępczych oraz funkcjonowania osób nieletnich zagrożonych demoralizacją, uwzględniając perspektywę psychopatologii, psychologii rodziny oraz wpływ instytucji resocjalizacyjnych/penitencjarnych.</w:t>
            </w:r>
          </w:p>
        </w:tc>
        <w:tc>
          <w:tcPr>
            <w:tcW w:w="2344" w:type="dxa"/>
            <w:gridSpan w:val="3"/>
          </w:tcPr>
          <w:p w14:paraId="016EF089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K_W10</w:t>
            </w:r>
          </w:p>
          <w:p w14:paraId="180E760A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K_W11</w:t>
            </w:r>
          </w:p>
          <w:p w14:paraId="7DD30EEF" w14:textId="36A9B508" w:rsidR="00C5359D" w:rsidRDefault="00C53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5359D" w14:paraId="5A56294A" w14:textId="77777777" w:rsidTr="00E76596">
        <w:trPr>
          <w:trHeight w:val="555"/>
          <w:jc w:val="center"/>
        </w:trPr>
        <w:tc>
          <w:tcPr>
            <w:tcW w:w="10061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47D1E54A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Ćwiczenia</w:t>
            </w:r>
          </w:p>
        </w:tc>
      </w:tr>
      <w:tr w:rsidR="00C5359D" w14:paraId="34F36ED3" w14:textId="77777777">
        <w:trPr>
          <w:trHeight w:val="555"/>
          <w:jc w:val="center"/>
        </w:trPr>
        <w:tc>
          <w:tcPr>
            <w:tcW w:w="1519" w:type="dxa"/>
          </w:tcPr>
          <w:p w14:paraId="367ADAD1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8" w:type="dxa"/>
            <w:gridSpan w:val="7"/>
          </w:tcPr>
          <w:p w14:paraId="22296316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Analizuje i interpretuje materiał procesowy i przypadki, dobiera adekwatne przesłanki psychologiczne oraz formułuje uzasadnione wnioski opiniodawcze dotyczące zagadnień procesowych w ramach psychologii sądowej.</w:t>
            </w:r>
          </w:p>
        </w:tc>
        <w:tc>
          <w:tcPr>
            <w:tcW w:w="2344" w:type="dxa"/>
            <w:gridSpan w:val="3"/>
          </w:tcPr>
          <w:p w14:paraId="28CB10B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K_U04 </w:t>
            </w:r>
          </w:p>
          <w:p w14:paraId="114C3E01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K_U12</w:t>
            </w:r>
          </w:p>
        </w:tc>
      </w:tr>
      <w:tr w:rsidR="00C5359D" w14:paraId="4DF1ED3A" w14:textId="77777777">
        <w:trPr>
          <w:trHeight w:val="555"/>
          <w:jc w:val="center"/>
        </w:trPr>
        <w:tc>
          <w:tcPr>
            <w:tcW w:w="1519" w:type="dxa"/>
          </w:tcPr>
          <w:p w14:paraId="79EF72E9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8" w:type="dxa"/>
            <w:gridSpan w:val="7"/>
          </w:tcPr>
          <w:p w14:paraId="721841D0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Przyjmuje postawę odpowiedzialności zawodowej w roli psychologa w wymiarze sprawiedliwości: respektuje standardy etyczne, adekwatnie reaguje na dylematy opiniodawcze i dba o rzetelność argumentacji.</w:t>
            </w:r>
          </w:p>
        </w:tc>
        <w:tc>
          <w:tcPr>
            <w:tcW w:w="2344" w:type="dxa"/>
            <w:gridSpan w:val="3"/>
          </w:tcPr>
          <w:p w14:paraId="565D2219" w14:textId="5F7DA518" w:rsidR="00C5359D" w:rsidRDefault="008039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039CD">
              <w:rPr>
                <w:rFonts w:ascii="Times New Roman" w:eastAsia="Times New Roman" w:hAnsi="Times New Roman" w:cs="Times New Roman"/>
                <w:color w:val="000000"/>
              </w:rPr>
              <w:t>K_K01, K_K02, K_K06</w:t>
            </w:r>
          </w:p>
        </w:tc>
      </w:tr>
      <w:tr w:rsidR="00C5359D" w14:paraId="31AD9308" w14:textId="77777777">
        <w:trPr>
          <w:trHeight w:val="555"/>
          <w:jc w:val="center"/>
        </w:trPr>
        <w:tc>
          <w:tcPr>
            <w:tcW w:w="1519" w:type="dxa"/>
          </w:tcPr>
          <w:p w14:paraId="5526BA3D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E2_K</w:t>
            </w:r>
          </w:p>
        </w:tc>
        <w:tc>
          <w:tcPr>
            <w:tcW w:w="6198" w:type="dxa"/>
            <w:gridSpan w:val="7"/>
          </w:tcPr>
          <w:p w14:paraId="49C38CC7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Wobec osób badanych w warunkach ekspertyzy sądowej utrzymuje postawę szacunku i bezstronności, krytycznie monitoruje wpływ stereotypów/uprzedzeń na interpretację danych oraz podejmuje działania minimalizujące ryzyko stronniczości w wnioskowaniu.</w:t>
            </w:r>
          </w:p>
        </w:tc>
        <w:tc>
          <w:tcPr>
            <w:tcW w:w="2344" w:type="dxa"/>
            <w:gridSpan w:val="3"/>
          </w:tcPr>
          <w:p w14:paraId="6DFC873B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K_K06</w:t>
            </w:r>
          </w:p>
          <w:p w14:paraId="0BDCD394" w14:textId="3BE5D10C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</w:t>
            </w:r>
            <w:r w:rsidR="008039CD">
              <w:rPr>
                <w:rFonts w:ascii="Times New Roman" w:eastAsia="Times New Roman" w:hAnsi="Times New Roman" w:cs="Times New Roman"/>
                <w:color w:val="000000"/>
              </w:rPr>
              <w:t>09</w:t>
            </w:r>
          </w:p>
        </w:tc>
      </w:tr>
      <w:tr w:rsidR="00C5359D" w14:paraId="5887DBCF" w14:textId="77777777">
        <w:trPr>
          <w:trHeight w:val="567"/>
          <w:jc w:val="center"/>
        </w:trPr>
        <w:tc>
          <w:tcPr>
            <w:tcW w:w="10061" w:type="dxa"/>
            <w:gridSpan w:val="11"/>
            <w:shd w:val="clear" w:color="auto" w:fill="D5DCE4"/>
            <w:vAlign w:val="center"/>
          </w:tcPr>
          <w:p w14:paraId="6AEE719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C5359D" w14:paraId="76A34F6E" w14:textId="77777777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F087215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320D805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B00AAD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5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3A61CBE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6A998CA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3574948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C5359D" w14:paraId="76765DC9" w14:textId="77777777">
        <w:trPr>
          <w:trHeight w:val="567"/>
          <w:jc w:val="center"/>
        </w:trPr>
        <w:tc>
          <w:tcPr>
            <w:tcW w:w="1519" w:type="dxa"/>
          </w:tcPr>
          <w:p w14:paraId="722B2DF6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1811" w:type="dxa"/>
            <w:gridSpan w:val="2"/>
          </w:tcPr>
          <w:p w14:paraId="7D8F3212" w14:textId="4066C29B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</w:t>
            </w:r>
            <w:r w:rsidR="00345645">
              <w:rPr>
                <w:rFonts w:ascii="Times New Roman" w:eastAsia="Times New Roman" w:hAnsi="Times New Roman" w:cs="Times New Roman"/>
                <w:b/>
                <w:bCs/>
              </w:rPr>
              <w:t>08</w:t>
            </w:r>
          </w:p>
          <w:p w14:paraId="7980D88B" w14:textId="7DF43AA3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</w:t>
            </w:r>
            <w:r w:rsidR="00345645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1471" w:type="dxa"/>
            <w:gridSpan w:val="2"/>
          </w:tcPr>
          <w:p w14:paraId="5F003E03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C3</w:t>
            </w:r>
          </w:p>
        </w:tc>
        <w:tc>
          <w:tcPr>
            <w:tcW w:w="2075" w:type="dxa"/>
          </w:tcPr>
          <w:p w14:paraId="2757DA20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1-13</w:t>
            </w:r>
          </w:p>
        </w:tc>
        <w:tc>
          <w:tcPr>
            <w:tcW w:w="1871" w:type="dxa"/>
            <w:gridSpan w:val="4"/>
            <w:vAlign w:val="center"/>
          </w:tcPr>
          <w:p w14:paraId="7057B9B7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314" w:type="dxa"/>
            <w:vAlign w:val="center"/>
          </w:tcPr>
          <w:p w14:paraId="707C953E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</w:t>
            </w:r>
          </w:p>
        </w:tc>
      </w:tr>
      <w:tr w:rsidR="00C5359D" w14:paraId="021F60DF" w14:textId="77777777">
        <w:trPr>
          <w:trHeight w:val="567"/>
          <w:jc w:val="center"/>
        </w:trPr>
        <w:tc>
          <w:tcPr>
            <w:tcW w:w="1519" w:type="dxa"/>
          </w:tcPr>
          <w:p w14:paraId="35F8E85F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1811" w:type="dxa"/>
            <w:gridSpan w:val="2"/>
          </w:tcPr>
          <w:p w14:paraId="28F76432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K_W10</w:t>
            </w:r>
          </w:p>
          <w:p w14:paraId="61505702" w14:textId="39A7CBB1" w:rsidR="00C5359D" w:rsidRDefault="00000000" w:rsidP="00345645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K_W11</w:t>
            </w:r>
          </w:p>
        </w:tc>
        <w:tc>
          <w:tcPr>
            <w:tcW w:w="1471" w:type="dxa"/>
            <w:gridSpan w:val="2"/>
          </w:tcPr>
          <w:p w14:paraId="6226D32C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C1,C2</w:t>
            </w:r>
          </w:p>
        </w:tc>
        <w:tc>
          <w:tcPr>
            <w:tcW w:w="2075" w:type="dxa"/>
          </w:tcPr>
          <w:p w14:paraId="06802AF6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1-13</w:t>
            </w:r>
          </w:p>
        </w:tc>
        <w:tc>
          <w:tcPr>
            <w:tcW w:w="1871" w:type="dxa"/>
            <w:gridSpan w:val="4"/>
            <w:vAlign w:val="center"/>
          </w:tcPr>
          <w:p w14:paraId="7DFCC906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Mk1-Mk3</w:t>
            </w:r>
          </w:p>
        </w:tc>
        <w:tc>
          <w:tcPr>
            <w:tcW w:w="1314" w:type="dxa"/>
            <w:vAlign w:val="center"/>
          </w:tcPr>
          <w:p w14:paraId="65B8EB15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</w:t>
            </w:r>
          </w:p>
        </w:tc>
      </w:tr>
      <w:tr w:rsidR="00C5359D" w14:paraId="2DE84AA7" w14:textId="77777777">
        <w:trPr>
          <w:trHeight w:val="567"/>
          <w:jc w:val="center"/>
        </w:trPr>
        <w:tc>
          <w:tcPr>
            <w:tcW w:w="1519" w:type="dxa"/>
          </w:tcPr>
          <w:p w14:paraId="08D3EF21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1811" w:type="dxa"/>
            <w:gridSpan w:val="2"/>
          </w:tcPr>
          <w:p w14:paraId="45898D99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K_U04</w:t>
            </w:r>
          </w:p>
          <w:p w14:paraId="4909F16D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K_U12</w:t>
            </w:r>
          </w:p>
        </w:tc>
        <w:tc>
          <w:tcPr>
            <w:tcW w:w="1471" w:type="dxa"/>
            <w:gridSpan w:val="2"/>
          </w:tcPr>
          <w:p w14:paraId="1D7FBEC3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C1,C2,C3</w:t>
            </w:r>
          </w:p>
        </w:tc>
        <w:tc>
          <w:tcPr>
            <w:tcW w:w="2075" w:type="dxa"/>
          </w:tcPr>
          <w:p w14:paraId="48C6025A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14-21</w:t>
            </w:r>
          </w:p>
        </w:tc>
        <w:tc>
          <w:tcPr>
            <w:tcW w:w="1871" w:type="dxa"/>
            <w:gridSpan w:val="4"/>
            <w:vAlign w:val="center"/>
          </w:tcPr>
          <w:p w14:paraId="6F55036B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314" w:type="dxa"/>
            <w:vAlign w:val="center"/>
          </w:tcPr>
          <w:p w14:paraId="2B712013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F1,P2</w:t>
            </w:r>
          </w:p>
        </w:tc>
      </w:tr>
      <w:tr w:rsidR="00C5359D" w14:paraId="5A401F79" w14:textId="77777777">
        <w:trPr>
          <w:trHeight w:val="928"/>
          <w:jc w:val="center"/>
        </w:trPr>
        <w:tc>
          <w:tcPr>
            <w:tcW w:w="1519" w:type="dxa"/>
          </w:tcPr>
          <w:p w14:paraId="4384A2AA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1811" w:type="dxa"/>
            <w:gridSpan w:val="2"/>
          </w:tcPr>
          <w:p w14:paraId="52611DDC" w14:textId="68D94C4C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</w:t>
            </w:r>
            <w:r w:rsidR="0034564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  <w:p w14:paraId="72C37369" w14:textId="77CFE1BC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</w:t>
            </w:r>
            <w:r w:rsidR="00345645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  <w:p w14:paraId="4F2F71F6" w14:textId="26150690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</w:t>
            </w:r>
            <w:r w:rsidR="00345645">
              <w:rPr>
                <w:rFonts w:ascii="Times New Roman" w:eastAsia="Times New Roman" w:hAnsi="Times New Roman" w:cs="Times New Roman"/>
                <w:b/>
                <w:bCs/>
              </w:rPr>
              <w:t>06</w:t>
            </w:r>
          </w:p>
        </w:tc>
        <w:tc>
          <w:tcPr>
            <w:tcW w:w="1471" w:type="dxa"/>
            <w:gridSpan w:val="2"/>
          </w:tcPr>
          <w:p w14:paraId="6A33DD15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C1,C2,C3</w:t>
            </w:r>
          </w:p>
        </w:tc>
        <w:tc>
          <w:tcPr>
            <w:tcW w:w="2075" w:type="dxa"/>
          </w:tcPr>
          <w:p w14:paraId="62B54BFD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1-21</w:t>
            </w:r>
          </w:p>
        </w:tc>
        <w:tc>
          <w:tcPr>
            <w:tcW w:w="1871" w:type="dxa"/>
            <w:gridSpan w:val="4"/>
            <w:vAlign w:val="center"/>
          </w:tcPr>
          <w:p w14:paraId="60310F30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Mk2-Mk4</w:t>
            </w:r>
          </w:p>
        </w:tc>
        <w:tc>
          <w:tcPr>
            <w:tcW w:w="1314" w:type="dxa"/>
            <w:vAlign w:val="center"/>
          </w:tcPr>
          <w:p w14:paraId="55207BF4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F1,P2</w:t>
            </w:r>
          </w:p>
        </w:tc>
      </w:tr>
      <w:tr w:rsidR="00C5359D" w14:paraId="26F1B2D0" w14:textId="77777777">
        <w:trPr>
          <w:trHeight w:val="928"/>
          <w:jc w:val="center"/>
        </w:trPr>
        <w:tc>
          <w:tcPr>
            <w:tcW w:w="1519" w:type="dxa"/>
          </w:tcPr>
          <w:p w14:paraId="69044B02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E2_K</w:t>
            </w:r>
          </w:p>
        </w:tc>
        <w:tc>
          <w:tcPr>
            <w:tcW w:w="1811" w:type="dxa"/>
            <w:gridSpan w:val="2"/>
          </w:tcPr>
          <w:p w14:paraId="64BE74B3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K_K06</w:t>
            </w:r>
          </w:p>
          <w:p w14:paraId="798FE338" w14:textId="061D48F2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K_K</w:t>
            </w:r>
            <w:r w:rsidR="008039CD">
              <w:rPr>
                <w:rFonts w:ascii="Times New Roman" w:eastAsia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471" w:type="dxa"/>
            <w:gridSpan w:val="2"/>
          </w:tcPr>
          <w:p w14:paraId="200CE6A3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C1,C2,C3</w:t>
            </w:r>
          </w:p>
        </w:tc>
        <w:tc>
          <w:tcPr>
            <w:tcW w:w="2075" w:type="dxa"/>
          </w:tcPr>
          <w:p w14:paraId="29F8C878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1-21</w:t>
            </w:r>
          </w:p>
        </w:tc>
        <w:tc>
          <w:tcPr>
            <w:tcW w:w="1871" w:type="dxa"/>
            <w:gridSpan w:val="4"/>
            <w:vAlign w:val="center"/>
          </w:tcPr>
          <w:p w14:paraId="482F617C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Mk1-Mk4</w:t>
            </w:r>
          </w:p>
        </w:tc>
        <w:tc>
          <w:tcPr>
            <w:tcW w:w="1314" w:type="dxa"/>
            <w:vAlign w:val="center"/>
          </w:tcPr>
          <w:p w14:paraId="5CBBAD3C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F1,P1, P2</w:t>
            </w:r>
          </w:p>
        </w:tc>
      </w:tr>
      <w:tr w:rsidR="00C5359D" w14:paraId="4F9792AF" w14:textId="77777777">
        <w:trPr>
          <w:trHeight w:val="567"/>
          <w:jc w:val="center"/>
        </w:trPr>
        <w:tc>
          <w:tcPr>
            <w:tcW w:w="10061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1658B23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C5359D" w14:paraId="72FA7CA4" w14:textId="77777777">
        <w:trPr>
          <w:cantSplit/>
          <w:trHeight w:val="480"/>
          <w:jc w:val="center"/>
        </w:trPr>
        <w:tc>
          <w:tcPr>
            <w:tcW w:w="3435" w:type="dxa"/>
            <w:gridSpan w:val="4"/>
            <w:vMerge w:val="restart"/>
            <w:shd w:val="clear" w:color="auto" w:fill="D5DCE4"/>
            <w:vAlign w:val="center"/>
          </w:tcPr>
          <w:p w14:paraId="04E31CAB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zajęć</w:t>
            </w:r>
          </w:p>
        </w:tc>
        <w:tc>
          <w:tcPr>
            <w:tcW w:w="3793" w:type="dxa"/>
            <w:gridSpan w:val="3"/>
            <w:vMerge w:val="restart"/>
            <w:shd w:val="clear" w:color="auto" w:fill="D5DCE4"/>
            <w:vAlign w:val="center"/>
          </w:tcPr>
          <w:p w14:paraId="17CF7E7A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833" w:type="dxa"/>
            <w:gridSpan w:val="4"/>
            <w:shd w:val="clear" w:color="auto" w:fill="D5DCE4"/>
            <w:vAlign w:val="center"/>
          </w:tcPr>
          <w:p w14:paraId="0E33C43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C5359D" w14:paraId="41370A50" w14:textId="77777777">
        <w:trPr>
          <w:cantSplit/>
          <w:trHeight w:val="480"/>
          <w:jc w:val="center"/>
        </w:trPr>
        <w:tc>
          <w:tcPr>
            <w:tcW w:w="3435" w:type="dxa"/>
            <w:gridSpan w:val="4"/>
            <w:vMerge/>
            <w:shd w:val="clear" w:color="auto" w:fill="D5DCE4"/>
            <w:vAlign w:val="center"/>
          </w:tcPr>
          <w:p w14:paraId="0E8C8E8D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3" w:type="dxa"/>
            <w:gridSpan w:val="3"/>
            <w:vMerge/>
            <w:shd w:val="clear" w:color="auto" w:fill="D5DCE4"/>
            <w:vAlign w:val="center"/>
          </w:tcPr>
          <w:p w14:paraId="41456B26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1F2C65ED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346" w:type="dxa"/>
            <w:gridSpan w:val="2"/>
            <w:shd w:val="clear" w:color="auto" w:fill="D5DCE4"/>
            <w:vAlign w:val="center"/>
          </w:tcPr>
          <w:p w14:paraId="054EF5C4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C5359D" w14:paraId="642529A7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Align w:val="center"/>
          </w:tcPr>
          <w:p w14:paraId="77937C0C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793" w:type="dxa"/>
            <w:gridSpan w:val="3"/>
            <w:vMerge w:val="restart"/>
            <w:vAlign w:val="center"/>
          </w:tcPr>
          <w:p w14:paraId="700AC228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67C764A7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346" w:type="dxa"/>
            <w:gridSpan w:val="2"/>
            <w:vAlign w:val="center"/>
          </w:tcPr>
          <w:p w14:paraId="676D38B3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C5359D" w14:paraId="4DF29DE1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Align w:val="center"/>
          </w:tcPr>
          <w:p w14:paraId="00BBEAD3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Ćwiczenia</w:t>
            </w:r>
          </w:p>
        </w:tc>
        <w:tc>
          <w:tcPr>
            <w:tcW w:w="3793" w:type="dxa"/>
            <w:gridSpan w:val="3"/>
            <w:vMerge/>
            <w:vAlign w:val="center"/>
          </w:tcPr>
          <w:p w14:paraId="442C5D7F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50B977E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46" w:type="dxa"/>
            <w:gridSpan w:val="2"/>
            <w:vAlign w:val="center"/>
          </w:tcPr>
          <w:p w14:paraId="58BFB794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C5359D" w14:paraId="1ED03E57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Align w:val="center"/>
          </w:tcPr>
          <w:p w14:paraId="6F9F96E7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793" w:type="dxa"/>
            <w:gridSpan w:val="3"/>
            <w:vMerge/>
            <w:vAlign w:val="center"/>
          </w:tcPr>
          <w:p w14:paraId="586D17C6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C35EA8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6B72666C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6ED1EFCE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Align w:val="center"/>
          </w:tcPr>
          <w:p w14:paraId="35F441E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793" w:type="dxa"/>
            <w:gridSpan w:val="3"/>
            <w:vMerge/>
            <w:vAlign w:val="center"/>
          </w:tcPr>
          <w:p w14:paraId="7690505E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9681B1D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49E4EFD7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2D82D6AF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Align w:val="center"/>
          </w:tcPr>
          <w:p w14:paraId="06E9B6D6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793" w:type="dxa"/>
            <w:gridSpan w:val="3"/>
            <w:vMerge/>
            <w:vAlign w:val="center"/>
          </w:tcPr>
          <w:p w14:paraId="4F17F31A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4D61199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036DFCAB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472E37C8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Align w:val="center"/>
          </w:tcPr>
          <w:p w14:paraId="0F72B1A6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793" w:type="dxa"/>
            <w:gridSpan w:val="3"/>
            <w:vMerge/>
            <w:vAlign w:val="center"/>
          </w:tcPr>
          <w:p w14:paraId="3E15D804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70CD975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72FF4CB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3129B33B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Align w:val="center"/>
          </w:tcPr>
          <w:p w14:paraId="531EDBE1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Wykład monograficzny</w:t>
            </w:r>
          </w:p>
        </w:tc>
        <w:tc>
          <w:tcPr>
            <w:tcW w:w="3793" w:type="dxa"/>
            <w:gridSpan w:val="3"/>
            <w:vMerge/>
            <w:vAlign w:val="center"/>
          </w:tcPr>
          <w:p w14:paraId="61E639FA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584B1398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533B9E03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2DBA6EF8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Merge w:val="restart"/>
            <w:vAlign w:val="center"/>
          </w:tcPr>
          <w:p w14:paraId="27CDA59E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793" w:type="dxa"/>
            <w:gridSpan w:val="3"/>
            <w:vAlign w:val="center"/>
          </w:tcPr>
          <w:p w14:paraId="1757674E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0F22EB10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46" w:type="dxa"/>
            <w:gridSpan w:val="2"/>
            <w:vAlign w:val="center"/>
          </w:tcPr>
          <w:p w14:paraId="49A0827A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</w:p>
        </w:tc>
      </w:tr>
      <w:tr w:rsidR="00C5359D" w14:paraId="17B3138F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Merge/>
            <w:vAlign w:val="center"/>
          </w:tcPr>
          <w:p w14:paraId="643FE21B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3" w:type="dxa"/>
            <w:gridSpan w:val="3"/>
            <w:vAlign w:val="center"/>
          </w:tcPr>
          <w:p w14:paraId="01D200A0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706EB34B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61E134CA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1546C662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Merge/>
            <w:vAlign w:val="center"/>
          </w:tcPr>
          <w:p w14:paraId="4C02172F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3" w:type="dxa"/>
            <w:gridSpan w:val="3"/>
            <w:vAlign w:val="center"/>
          </w:tcPr>
          <w:p w14:paraId="074055CC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4A281FEB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005D45AE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7FAB30E7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Merge/>
            <w:vAlign w:val="center"/>
          </w:tcPr>
          <w:p w14:paraId="57354A7C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3" w:type="dxa"/>
            <w:gridSpan w:val="3"/>
            <w:vAlign w:val="center"/>
          </w:tcPr>
          <w:p w14:paraId="327757B0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276BC26C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6C0E67A6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4C439C83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Merge/>
            <w:vAlign w:val="center"/>
          </w:tcPr>
          <w:p w14:paraId="658019CF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3" w:type="dxa"/>
            <w:gridSpan w:val="3"/>
            <w:vAlign w:val="center"/>
          </w:tcPr>
          <w:p w14:paraId="7E6AF8D5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68D8ED07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10</w:t>
            </w:r>
          </w:p>
        </w:tc>
        <w:tc>
          <w:tcPr>
            <w:tcW w:w="1346" w:type="dxa"/>
            <w:gridSpan w:val="2"/>
            <w:vAlign w:val="center"/>
          </w:tcPr>
          <w:p w14:paraId="650A03E0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C5359D" w14:paraId="48168207" w14:textId="77777777">
        <w:trPr>
          <w:cantSplit/>
          <w:trHeight w:val="567"/>
          <w:jc w:val="center"/>
        </w:trPr>
        <w:tc>
          <w:tcPr>
            <w:tcW w:w="3435" w:type="dxa"/>
            <w:gridSpan w:val="4"/>
            <w:vMerge/>
            <w:vAlign w:val="center"/>
          </w:tcPr>
          <w:p w14:paraId="58D83C42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3" w:type="dxa"/>
            <w:gridSpan w:val="3"/>
            <w:vAlign w:val="center"/>
          </w:tcPr>
          <w:p w14:paraId="7A8C94AD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7E30B5D8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20</w:t>
            </w:r>
          </w:p>
        </w:tc>
        <w:tc>
          <w:tcPr>
            <w:tcW w:w="1346" w:type="dxa"/>
            <w:gridSpan w:val="2"/>
            <w:vAlign w:val="center"/>
          </w:tcPr>
          <w:p w14:paraId="2DBD0932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</w:tr>
      <w:tr w:rsidR="00C5359D" w14:paraId="5D77F49C" w14:textId="77777777">
        <w:trPr>
          <w:cantSplit/>
          <w:trHeight w:val="391"/>
          <w:jc w:val="center"/>
        </w:trPr>
        <w:tc>
          <w:tcPr>
            <w:tcW w:w="3435" w:type="dxa"/>
            <w:gridSpan w:val="4"/>
            <w:vMerge/>
            <w:vAlign w:val="center"/>
          </w:tcPr>
          <w:p w14:paraId="22872F98" w14:textId="77777777" w:rsidR="00C5359D" w:rsidRDefault="00C53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93" w:type="dxa"/>
            <w:gridSpan w:val="3"/>
            <w:tcBorders>
              <w:bottom w:val="single" w:sz="4" w:space="0" w:color="000000"/>
            </w:tcBorders>
            <w:vAlign w:val="center"/>
          </w:tcPr>
          <w:p w14:paraId="3739A705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39C94BA0" w14:textId="77777777" w:rsidR="00C5359D" w:rsidRDefault="00000000">
            <w:pPr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46" w:type="dxa"/>
            <w:gridSpan w:val="2"/>
            <w:vAlign w:val="center"/>
          </w:tcPr>
          <w:p w14:paraId="7A6706AC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5359D" w14:paraId="20ADAB6D" w14:textId="77777777">
        <w:trPr>
          <w:trHeight w:val="567"/>
          <w:jc w:val="center"/>
        </w:trPr>
        <w:tc>
          <w:tcPr>
            <w:tcW w:w="7228" w:type="dxa"/>
            <w:gridSpan w:val="7"/>
            <w:shd w:val="clear" w:color="auto" w:fill="F2F2F2"/>
            <w:vAlign w:val="center"/>
          </w:tcPr>
          <w:p w14:paraId="5DEFF5E3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59B8F0E9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  <w:tc>
          <w:tcPr>
            <w:tcW w:w="1346" w:type="dxa"/>
            <w:gridSpan w:val="2"/>
            <w:vAlign w:val="center"/>
          </w:tcPr>
          <w:p w14:paraId="26FF069E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</w:t>
            </w:r>
          </w:p>
        </w:tc>
      </w:tr>
      <w:tr w:rsidR="00C5359D" w14:paraId="3C63633B" w14:textId="77777777">
        <w:trPr>
          <w:trHeight w:val="567"/>
          <w:jc w:val="center"/>
        </w:trPr>
        <w:tc>
          <w:tcPr>
            <w:tcW w:w="7228" w:type="dxa"/>
            <w:gridSpan w:val="7"/>
            <w:shd w:val="clear" w:color="auto" w:fill="F2F2F2"/>
            <w:vAlign w:val="center"/>
          </w:tcPr>
          <w:p w14:paraId="419627C6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833" w:type="dxa"/>
            <w:gridSpan w:val="4"/>
            <w:vAlign w:val="center"/>
          </w:tcPr>
          <w:p w14:paraId="3880B318" w14:textId="77777777" w:rsidR="00C535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</w:tr>
    </w:tbl>
    <w:p w14:paraId="4BE29B29" w14:textId="77777777" w:rsidR="00C5359D" w:rsidRDefault="00C535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C5359D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DD62C" w14:textId="77777777" w:rsidR="00100500" w:rsidRDefault="0010050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9A3B94B" w14:textId="77777777" w:rsidR="00100500" w:rsidRDefault="0010050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9E4A8A1A-1E28-4F00-9971-C06F57F732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5781E94-74B6-4FED-93D7-EAB8BCF10C89}"/>
    <w:embedBold r:id="rId3" w:fontKey="{BA2959AC-0BF4-4DB9-B1AB-51088EB1B641}"/>
    <w:embedItalic r:id="rId4" w:fontKey="{CB677DB5-B899-4A3C-BAA2-313B032F6971}"/>
    <w:embedBoldItalic r:id="rId5" w:fontKey="{E1FB72B8-F45F-4462-BCC1-CC41B386A4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5C91CA9C-9A4C-4C40-A9A7-858EDF476328}"/>
    <w:embedBold r:id="rId7" w:fontKey="{6008E380-B337-4E82-B797-8C2E8C398F4B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632B4649-EBF7-4E4E-9C96-C86457756C63}"/>
    <w:embedBold r:id="rId9" w:fontKey="{3214B250-DB9B-4BD2-90A5-DB768063EB8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F14B1E12-35C5-4AC9-9F48-EB45566C4DCB}"/>
    <w:embedItalic r:id="rId11" w:fontKey="{9218EDE4-B756-445F-A796-74A97FB28080}"/>
  </w:font>
  <w:font w:name="EUAlbertina"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2" w:fontKey="{600C7CB7-F521-466E-A1C1-A20F9485665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DD0F8029-182D-4B45-B2AB-872D15CE836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03AE" w14:textId="77777777" w:rsidR="00C535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E76596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3DCE9C1" w14:textId="77777777" w:rsidR="00C5359D" w:rsidRDefault="00C5359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207DB" w14:textId="77777777" w:rsidR="00100500" w:rsidRDefault="0010050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1C44DD4" w14:textId="77777777" w:rsidR="00100500" w:rsidRDefault="00100500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C7208"/>
    <w:multiLevelType w:val="multilevel"/>
    <w:tmpl w:val="E4588C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486B0014"/>
    <w:multiLevelType w:val="multilevel"/>
    <w:tmpl w:val="73C0F8D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672B32D8"/>
    <w:multiLevelType w:val="multilevel"/>
    <w:tmpl w:val="7194BFC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⎯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038816791">
    <w:abstractNumId w:val="1"/>
  </w:num>
  <w:num w:numId="2" w16cid:durableId="904296232">
    <w:abstractNumId w:val="0"/>
  </w:num>
  <w:num w:numId="3" w16cid:durableId="1959793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59D"/>
    <w:rsid w:val="00100500"/>
    <w:rsid w:val="00300FD5"/>
    <w:rsid w:val="00345645"/>
    <w:rsid w:val="00432FBF"/>
    <w:rsid w:val="008039CD"/>
    <w:rsid w:val="00C5359D"/>
    <w:rsid w:val="00E7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E8DCB"/>
  <w15:docId w15:val="{3B5F3A96-06B2-4526-9005-EB2DA3DF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  <w:lang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  <w:lang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  <w:lang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  <w:lang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  <w:lang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  <w:lang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  <w:lang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  <w:lang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  <w:lang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  <w:lang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  <w:lang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28ko5MizIXCta27FBz+3ikcIw==">CgMxLjAyDmguejV1cWVxdTliejdxMg5oLm5kOTlvdzZnaHdoajIOaC43bjFwbmhlcHU3d3YyDmguMWtvYmxkODQ3b25pMg5oLnMwdnRuN241bWhmZDIOaC5pdjNnYXdmOHVzc3Q4AHIhMTVIRW5wVmN0eU1wS1VVZ2RCNUtQdHppVVRid2JmY1lJ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1669</Words>
  <Characters>10014</Characters>
  <Application>Microsoft Office Word</Application>
  <DocSecurity>0</DocSecurity>
  <Lines>83</Lines>
  <Paragraphs>23</Paragraphs>
  <ScaleCrop>false</ScaleCrop>
  <Company/>
  <LinksUpToDate>false</LinksUpToDate>
  <CharactersWithSpaces>11660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Jakub Seiffert</cp:lastModifiedBy>
  <cp:revision>5</cp:revision>
  <dcterms:created xsi:type="dcterms:W3CDTF">2026-03-11T21:49:00Z</dcterms:created>
  <dcterms:modified xsi:type="dcterms:W3CDTF">2026-03-11T21:54:00Z</dcterms:modified>
</cp:coreProperties>
</file>