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23EB8" w14:textId="77777777" w:rsidR="00C967E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2CD19B1" wp14:editId="315F6974">
            <wp:simplePos x="0" y="0"/>
            <wp:positionH relativeFrom="column">
              <wp:posOffset>-361949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074"/>
        <w:gridCol w:w="351"/>
        <w:gridCol w:w="490"/>
        <w:gridCol w:w="997"/>
        <w:gridCol w:w="33"/>
        <w:gridCol w:w="1452"/>
      </w:tblGrid>
      <w:tr w:rsidR="00C967E7" w14:paraId="7B2F6958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1ECF995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C967E7" w14:paraId="67109AAC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FFFFFF"/>
            <w:vAlign w:val="center"/>
          </w:tcPr>
          <w:p w14:paraId="64E95938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</w:p>
        </w:tc>
      </w:tr>
      <w:tr w:rsidR="00C967E7" w14:paraId="1A0927CD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030AB6D1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8"/>
            <w:vAlign w:val="center"/>
          </w:tcPr>
          <w:p w14:paraId="4D142CD8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</w:tr>
      <w:tr w:rsidR="00C967E7" w14:paraId="38215675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6C4898F8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C967E7" w14:paraId="50DE5BB1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71FEA3C9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C967E7" w14:paraId="4B9F51AA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vAlign w:val="center"/>
          </w:tcPr>
          <w:p w14:paraId="7D7070EF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5DA986A5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C967E7" w14:paraId="17F78BBA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3A0CCBE9" w14:textId="77777777" w:rsidR="00C967E7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Techniki studiowania</w:t>
            </w:r>
          </w:p>
        </w:tc>
      </w:tr>
      <w:tr w:rsidR="00C967E7" w14:paraId="202A3059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vAlign w:val="center"/>
          </w:tcPr>
          <w:p w14:paraId="0EB82F7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4B02D535" w14:textId="77777777" w:rsidR="00C967E7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C1</w:t>
            </w:r>
            <w:r>
              <w:rPr>
                <w:rFonts w:ascii="Times New Roman" w:eastAsia="Times New Roman" w:hAnsi="Times New Roman" w:cs="Times New Roman"/>
              </w:rPr>
              <w:t xml:space="preserve"> Doskonalenie zaawansowanych strategii samoregulacji uczenia się (planowanie, monitorowanie, ewaluacja) oraz organizacji pracy własnej w warunkach studiowania psychologii, z uwzględnieniem standardów odpowiedzialności akademickiej i przygotowania do wymagań rynku pracy.</w:t>
            </w:r>
          </w:p>
          <w:p w14:paraId="46BA2354" w14:textId="77777777" w:rsidR="00C967E7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C2</w:t>
            </w:r>
            <w:r>
              <w:rPr>
                <w:rFonts w:ascii="Times New Roman" w:eastAsia="Times New Roman" w:hAnsi="Times New Roman" w:cs="Times New Roman"/>
              </w:rPr>
              <w:t xml:space="preserve"> Rozwinięcie umiejętności krytycznego wyszukiwania, selekcji i oceny jakości źródeł naukowych oraz ich etycznego wykorzystania: tworzenie poprawnej bibliografii, stosowanie zasad cytowania i ochrony własności intelektualnej, a także opracowywanie krótkich form wypowiedzi akademickiej (streszczenie/raport/krótki esej) zgodnie ze standardami edytorskimi.</w:t>
            </w:r>
          </w:p>
          <w:p w14:paraId="6DEA1585" w14:textId="77777777" w:rsidR="00C967E7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C3</w:t>
            </w:r>
            <w:r>
              <w:rPr>
                <w:rFonts w:ascii="Times New Roman" w:eastAsia="Times New Roman" w:hAnsi="Times New Roman" w:cs="Times New Roman"/>
              </w:rPr>
              <w:t xml:space="preserve"> Kształtowanie kompetencji rozumienia i krytycznego porównywania dyskursu naukowego i publicystycznego, w tym rozpoznawania weryfikowalności twierdzeń, spójności argumentacji i poprawności terminologicznej w tekstach z obszaru psychologii.</w:t>
            </w:r>
          </w:p>
          <w:p w14:paraId="48487E8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C4 </w:t>
            </w:r>
            <w:r>
              <w:rPr>
                <w:rFonts w:ascii="Times New Roman" w:eastAsia="Times New Roman" w:hAnsi="Times New Roman" w:cs="Times New Roman"/>
              </w:rPr>
              <w:t>Rozwinięcie kompetencji komunikacji akademickiej (etykieta, kultura dialogu, prezentacja treści) poprzez analizę norm środowiska akademickiego oraz ćwiczenie profesjonalnej formy wypowiedzi ustnej i pisemnej.</w:t>
            </w:r>
          </w:p>
        </w:tc>
      </w:tr>
      <w:tr w:rsidR="00C967E7" w14:paraId="09ABD32C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0D8D881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C967E7" w14:paraId="30A72B5F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1FD1048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podstawy komunikacji interpersonalnej</w:t>
            </w:r>
          </w:p>
        </w:tc>
      </w:tr>
      <w:tr w:rsidR="00C967E7" w14:paraId="524D8A7D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1837B92D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2CC7A8C6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Ćwiczenia </w:t>
            </w:r>
            <w:r>
              <w:rPr>
                <w:rFonts w:ascii="Times New Roman" w:eastAsia="Times New Roman" w:hAnsi="Times New Roman" w:cs="Times New Roman"/>
              </w:rPr>
              <w:t xml:space="preserve">(karty pracy i arkusze zadań,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kryteriów oceny źródeł, przykładowe teksty naukowe i publicystyczne do porównań, krótkie zadania pisemne: bibliografia/streszczenie) (Pd1, Pd2, Pd3)</w:t>
            </w:r>
          </w:p>
          <w:p w14:paraId="02A27AF7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Dyskusja </w:t>
            </w:r>
            <w:r>
              <w:rPr>
                <w:rFonts w:ascii="Times New Roman" w:eastAsia="Times New Roman" w:hAnsi="Times New Roman" w:cs="Times New Roman"/>
              </w:rPr>
              <w:t xml:space="preserve">(pytania problemowe i rundy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omówień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krótkie fragmenty tekstów do analizy, przykłady błędów argumentacyjnych i korekty, rubryki/kryteria oceny wypowiedzi ustnej i pisemnej) (Pd3, Pd4)</w:t>
            </w:r>
          </w:p>
          <w:p w14:paraId="2E5410B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Analiza dokumentów i standardów akademickich </w:t>
            </w:r>
            <w:r>
              <w:rPr>
                <w:rFonts w:ascii="Times New Roman" w:eastAsia="Times New Roman" w:hAnsi="Times New Roman" w:cs="Times New Roman"/>
              </w:rPr>
              <w:t>(fragmenty regulaminu i programu studiów, „wskazania dla autorów”/standardy edytorskie, zasady cytowania i ochrony własności intelektualnej – praca na przykładach poprawnych i błędnych zapisów) (Pd5, Pd6)</w:t>
            </w:r>
          </w:p>
          <w:p w14:paraId="6A117AFE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3BA85C8F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44F39E35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Pd1 Karty pracy i arkusze zadań </w:t>
            </w:r>
            <w:r>
              <w:rPr>
                <w:rFonts w:ascii="Times New Roman" w:eastAsia="Times New Roman" w:hAnsi="Times New Roman" w:cs="Times New Roman"/>
              </w:rPr>
              <w:t>(planowanie nauki, organizacja pracy, zadania do wykonania na zajęciach i po zajęciach)</w:t>
            </w:r>
          </w:p>
          <w:p w14:paraId="5109434D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Checklisty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kryteriów oceny źródeł</w:t>
            </w:r>
            <w:r>
              <w:rPr>
                <w:rFonts w:ascii="Times New Roman" w:eastAsia="Times New Roman" w:hAnsi="Times New Roman" w:cs="Times New Roman"/>
              </w:rPr>
              <w:t xml:space="preserve"> (wiarygodność, recenzowanie, trafność do problemu, jakość argumentacji)</w:t>
            </w:r>
          </w:p>
          <w:p w14:paraId="6B67B7F6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Przykładowe teksty naukowe i publicystyczne </w:t>
            </w:r>
            <w:r>
              <w:rPr>
                <w:rFonts w:ascii="Times New Roman" w:eastAsia="Times New Roman" w:hAnsi="Times New Roman" w:cs="Times New Roman"/>
              </w:rPr>
              <w:t>(materiał porównawczy: terminologia, weryfikowalność twierdzeń, styl i struktura)</w:t>
            </w:r>
          </w:p>
          <w:p w14:paraId="05095427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Pd4 Rubryki i kryteria oceny wypowiedzi </w:t>
            </w:r>
            <w:r>
              <w:rPr>
                <w:rFonts w:ascii="Times New Roman" w:eastAsia="Times New Roman" w:hAnsi="Times New Roman" w:cs="Times New Roman"/>
              </w:rPr>
              <w:t>(kryteria spójności, poprawności terminologicznej, jakości argumentacji, poprawności formalnej)</w:t>
            </w:r>
          </w:p>
          <w:p w14:paraId="51EE1257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Pd5 Dokumenty i procedury uczelniane </w:t>
            </w:r>
            <w:r>
              <w:rPr>
                <w:rFonts w:ascii="Times New Roman" w:eastAsia="Times New Roman" w:hAnsi="Times New Roman" w:cs="Times New Roman"/>
              </w:rPr>
              <w:t>(program studiów, regulamin, zasady zaliczeń – fragmenty do analizy zastosowań w praktyce studiowania)</w:t>
            </w:r>
          </w:p>
          <w:p w14:paraId="354279F5" w14:textId="77777777" w:rsidR="00C967E7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Pd6 Standardy edytorskie i zasady cytowania </w:t>
            </w:r>
            <w:r>
              <w:rPr>
                <w:rFonts w:ascii="Times New Roman" w:eastAsia="Times New Roman" w:hAnsi="Times New Roman" w:cs="Times New Roman"/>
              </w:rPr>
              <w:t xml:space="preserve">(APA 7 – przykłady zapisów bibliograficznych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cytowań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przykłady typowych błędów i ich korekta)</w:t>
            </w:r>
          </w:p>
        </w:tc>
      </w:tr>
      <w:tr w:rsidR="00C967E7" w14:paraId="3FC50564" w14:textId="77777777">
        <w:trPr>
          <w:trHeight w:val="273"/>
          <w:jc w:val="center"/>
        </w:trPr>
        <w:tc>
          <w:tcPr>
            <w:tcW w:w="10198" w:type="dxa"/>
            <w:gridSpan w:val="10"/>
            <w:shd w:val="clear" w:color="auto" w:fill="DBE5F1"/>
            <w:vAlign w:val="center"/>
          </w:tcPr>
          <w:p w14:paraId="03C6B92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79B8C0AF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967E7" w14:paraId="0C360C22" w14:textId="77777777">
        <w:trPr>
          <w:trHeight w:val="843"/>
          <w:jc w:val="center"/>
        </w:trPr>
        <w:tc>
          <w:tcPr>
            <w:tcW w:w="10198" w:type="dxa"/>
            <w:gridSpan w:val="10"/>
          </w:tcPr>
          <w:p w14:paraId="046CA51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570571EA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Kultura studiowania i etykieta akademicka</w:t>
            </w:r>
            <w:r>
              <w:rPr>
                <w:rFonts w:ascii="Times New Roman" w:eastAsia="Times New Roman" w:hAnsi="Times New Roman" w:cs="Times New Roman"/>
              </w:rPr>
              <w:t>: normy komunikacji, odpowiedzialność akademicka, zasady współpracy w społeczności uczelni.</w:t>
            </w:r>
          </w:p>
          <w:p w14:paraId="06EFF7B3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Regulacje i procedury uczelniane</w:t>
            </w:r>
            <w:r>
              <w:rPr>
                <w:rFonts w:ascii="Times New Roman" w:eastAsia="Times New Roman" w:hAnsi="Times New Roman" w:cs="Times New Roman"/>
              </w:rPr>
              <w:t>: analiza kluczowych dokumentów (program studiów, regulamin, zasady zaliczeń) oraz zastosowanie narzędzi wspierających proces studiowania.</w:t>
            </w:r>
          </w:p>
          <w:p w14:paraId="3EFE51C3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Praca naukowa w psychologii a praktyka psychologiczna</w:t>
            </w:r>
            <w:r>
              <w:rPr>
                <w:rFonts w:ascii="Times New Roman" w:eastAsia="Times New Roman" w:hAnsi="Times New Roman" w:cs="Times New Roman"/>
              </w:rPr>
              <w:t>: kryteria odróżniania tekstu naukowego od publicystycznego; typy dyskursu, terminologia, kontekst i weryfikowalność twierdzeń.</w:t>
            </w:r>
          </w:p>
          <w:p w14:paraId="3D938779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Wyszukiwanie i selekcja literatury</w:t>
            </w:r>
            <w:r>
              <w:rPr>
                <w:rFonts w:ascii="Times New Roman" w:eastAsia="Times New Roman" w:hAnsi="Times New Roman" w:cs="Times New Roman"/>
              </w:rPr>
              <w:t xml:space="preserve">: strategie zapytań, słowa kluczowe, filtrowanie; praca z bazami (np.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PsycINFO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PsycArticles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pokrewne) oraz ocena wiarygodności źródeł.</w:t>
            </w:r>
          </w:p>
          <w:p w14:paraId="5FC0FA6E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Konstruowanie bibliografii i cytowanie</w:t>
            </w:r>
            <w:r>
              <w:rPr>
                <w:rFonts w:ascii="Times New Roman" w:eastAsia="Times New Roman" w:hAnsi="Times New Roman" w:cs="Times New Roman"/>
              </w:rPr>
              <w:t>: standardy opisu bibliograficznego, dobór źródeł do problemu, błędy i ich korekta; zasady etycznego wykorzystania cudzych treści.</w:t>
            </w:r>
          </w:p>
          <w:p w14:paraId="09544720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Przygotowanie krótkich tekstów akademickich</w:t>
            </w:r>
            <w:r>
              <w:rPr>
                <w:rFonts w:ascii="Times New Roman" w:eastAsia="Times New Roman" w:hAnsi="Times New Roman" w:cs="Times New Roman"/>
              </w:rPr>
              <w:t>: streszczenie/raport/krótki esej – kompozycja, spójność argumentacji, styl akademicki; analiza „wskazań dla autorów” w czasopismach.</w:t>
            </w:r>
          </w:p>
          <w:p w14:paraId="01393F17" w14:textId="77777777" w:rsidR="00C967E7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Prezentacja treści</w:t>
            </w:r>
            <w:r>
              <w:rPr>
                <w:rFonts w:ascii="Times New Roman" w:eastAsia="Times New Roman" w:hAnsi="Times New Roman" w:cs="Times New Roman"/>
              </w:rPr>
              <w:t xml:space="preserve">: opracowanie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-outu i zarysu prezentacji/plakatu na podstawie źródła naukowego (selekcja treści, jasność przekazu, poprawność formalna).</w:t>
            </w:r>
          </w:p>
        </w:tc>
      </w:tr>
      <w:tr w:rsidR="00C967E7" w14:paraId="15FCBA0C" w14:textId="77777777">
        <w:trPr>
          <w:trHeight w:val="704"/>
          <w:jc w:val="center"/>
        </w:trPr>
        <w:tc>
          <w:tcPr>
            <w:tcW w:w="10198" w:type="dxa"/>
            <w:gridSpan w:val="10"/>
            <w:vAlign w:val="center"/>
          </w:tcPr>
          <w:p w14:paraId="107C1F5D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podstawowa:</w:t>
            </w:r>
          </w:p>
          <w:p w14:paraId="04CBFBCF" w14:textId="77777777" w:rsidR="00C967E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Wierzbicka E., Wolański A.,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Zdunkiewicz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-Jedynak D., Podstawy stylistyki i retoryki, Wydaw. Nauk. PWN, Warszawa 2008.</w:t>
            </w:r>
          </w:p>
          <w:p w14:paraId="2087D4D5" w14:textId="77777777" w:rsidR="00C967E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Kochan M., Pojedynek na słowa. Techniki erystyczne w publicznych sporach, Wydawnictwo „Znak”, Kraków 2005.</w:t>
            </w:r>
          </w:p>
        </w:tc>
      </w:tr>
      <w:tr w:rsidR="00C967E7" w:rsidRPr="00242B44" w14:paraId="1352015D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1B7A2535" w14:textId="77777777" w:rsidR="00C96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37F21EFC" w14:textId="77777777" w:rsidR="00C967E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A. Budzyńska-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Kwosek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Erystyka czyli o sztuce prowadzenia sporów. Wydawnictwo Naukowe PWN. Warszawa 2009.</w:t>
            </w:r>
          </w:p>
          <w:p w14:paraId="5E9B78A2" w14:textId="77777777" w:rsidR="00C967E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Adair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 Sztuka twórczego myślenia, Kraków 2008.</w:t>
            </w:r>
          </w:p>
          <w:p w14:paraId="0D6FC129" w14:textId="77777777" w:rsidR="00C967E7" w:rsidRPr="00242B4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en-US"/>
              </w:rPr>
            </w:pPr>
            <w:r w:rsidRPr="00242B44">
              <w:rPr>
                <w:rFonts w:ascii="Times New Roman" w:eastAsia="Times New Roman" w:hAnsi="Times New Roman" w:cs="Times New Roman"/>
                <w:lang w:val="en-US"/>
              </w:rPr>
              <w:t>American Psychological Association. (2020). Publication Manual of the American Psychological Association (7th ed.).</w:t>
            </w:r>
          </w:p>
        </w:tc>
      </w:tr>
      <w:tr w:rsidR="00C967E7" w14:paraId="47DD754C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4C0AFA7E" w14:textId="77777777" w:rsidR="00C96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5C3885F8" w14:textId="77777777" w:rsidR="00C96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aktywność na zajęciach</w:t>
            </w:r>
          </w:p>
          <w:p w14:paraId="7F785EE5" w14:textId="77777777" w:rsidR="00C967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prace zaliczeniowe (sporządzanie bibliografii, streszczenie tekstu)</w:t>
            </w:r>
          </w:p>
        </w:tc>
      </w:tr>
      <w:tr w:rsidR="00C967E7" w14:paraId="2C7310E5" w14:textId="77777777">
        <w:trPr>
          <w:trHeight w:val="567"/>
          <w:jc w:val="center"/>
        </w:trPr>
        <w:tc>
          <w:tcPr>
            <w:tcW w:w="10198" w:type="dxa"/>
            <w:gridSpan w:val="10"/>
            <w:vAlign w:val="center"/>
          </w:tcPr>
          <w:p w14:paraId="15E9B310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Style w:val="a0"/>
              <w:tblW w:w="10991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4"/>
              <w:gridCol w:w="8017"/>
            </w:tblGrid>
            <w:tr w:rsidR="00C967E7" w14:paraId="48012D07" w14:textId="77777777">
              <w:trPr>
                <w:trHeight w:val="693"/>
                <w:jc w:val="center"/>
              </w:trPr>
              <w:tc>
                <w:tcPr>
                  <w:tcW w:w="2974" w:type="dxa"/>
                  <w:tcBorders>
                    <w:bottom w:val="single" w:sz="4" w:space="0" w:color="000000"/>
                  </w:tcBorders>
                  <w:vAlign w:val="center"/>
                </w:tcPr>
                <w:p w14:paraId="4187271B" w14:textId="77777777" w:rsidR="00C967E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Forma zajęć</w:t>
                  </w:r>
                </w:p>
              </w:tc>
              <w:tc>
                <w:tcPr>
                  <w:tcW w:w="8017" w:type="dxa"/>
                  <w:tcBorders>
                    <w:bottom w:val="single" w:sz="4" w:space="0" w:color="000000"/>
                  </w:tcBorders>
                  <w:vAlign w:val="center"/>
                </w:tcPr>
                <w:p w14:paraId="78F41CC8" w14:textId="77777777" w:rsidR="00C967E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Warunki zaliczenia zajęć</w:t>
                  </w:r>
                </w:p>
              </w:tc>
            </w:tr>
            <w:tr w:rsidR="00C967E7" w14:paraId="4CA2B716" w14:textId="77777777">
              <w:trPr>
                <w:trHeight w:val="190"/>
                <w:jc w:val="center"/>
              </w:trPr>
              <w:tc>
                <w:tcPr>
                  <w:tcW w:w="2974" w:type="dxa"/>
                  <w:vAlign w:val="center"/>
                </w:tcPr>
                <w:p w14:paraId="70292F7F" w14:textId="77777777" w:rsidR="00C967E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394"/>
                    </w:tabs>
                    <w:spacing w:after="0" w:line="240" w:lineRule="auto"/>
                    <w:ind w:left="0" w:hanging="2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Ćwiczenia</w:t>
                  </w:r>
                </w:p>
              </w:tc>
              <w:tc>
                <w:tcPr>
                  <w:tcW w:w="8017" w:type="dxa"/>
                  <w:vAlign w:val="center"/>
                </w:tcPr>
                <w:p w14:paraId="770FFFB0" w14:textId="77777777" w:rsidR="00C967E7" w:rsidRDefault="00000000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Minimum 80% obecności na zajęciach</w:t>
                  </w:r>
                </w:p>
                <w:p w14:paraId="3BD0FA26" w14:textId="77777777" w:rsidR="00C967E7" w:rsidRDefault="00000000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Przygotowanie dwóch prac: </w:t>
                  </w:r>
                </w:p>
                <w:p w14:paraId="5B195D58" w14:textId="77777777" w:rsidR="00C967E7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1. sporządzanie bibliografii na dowolny temat z dyscypliny psychologia. </w:t>
                  </w:r>
                </w:p>
                <w:p w14:paraId="771ED521" w14:textId="77777777" w:rsidR="00C967E7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Bibliografia powinna zawierać: 2 książki, 2 artykuły i 2 rozdziały w monografiach. Materiały studenci czerpią w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google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scholar</w:t>
                  </w:r>
                </w:p>
                <w:p w14:paraId="74E33CDC" w14:textId="77777777" w:rsidR="00C967E7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0" w:hanging="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       2.Streszczenie tekstu z dyscypliny psychologia na ½ strony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komputeropisu</w:t>
                  </w:r>
                  <w:proofErr w:type="spellEnd"/>
                </w:p>
              </w:tc>
            </w:tr>
          </w:tbl>
          <w:p w14:paraId="1956A7E1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44193AD2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555BF6D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C967E7" w14:paraId="40EE98BA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16F26448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6"/>
            <w:shd w:val="clear" w:color="auto" w:fill="D5DCE4"/>
            <w:vAlign w:val="center"/>
          </w:tcPr>
          <w:p w14:paraId="6BFDD766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043D5B92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C967E7" w14:paraId="7EF8C453" w14:textId="77777777">
        <w:trPr>
          <w:trHeight w:val="546"/>
          <w:jc w:val="center"/>
        </w:trPr>
        <w:tc>
          <w:tcPr>
            <w:tcW w:w="1519" w:type="dxa"/>
          </w:tcPr>
          <w:p w14:paraId="1C65E34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6"/>
          </w:tcPr>
          <w:p w14:paraId="0BCBD343" w14:textId="53E81300" w:rsidR="00C967E7" w:rsidRDefault="00242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2B44">
              <w:rPr>
                <w:rFonts w:ascii="Times New Roman" w:eastAsia="Times New Roman" w:hAnsi="Times New Roman" w:cs="Times New Roman"/>
              </w:rPr>
              <w:t>Analizuje uwarunkowania funkcjonowania studenta w środowisku akademickim oraz charakteryzuje możliwości rozwoju zawodowego absolwenta psychologii i podstawowe uwarunkowania rynku pracy.</w:t>
            </w:r>
          </w:p>
        </w:tc>
        <w:tc>
          <w:tcPr>
            <w:tcW w:w="2482" w:type="dxa"/>
            <w:gridSpan w:val="3"/>
          </w:tcPr>
          <w:p w14:paraId="25746FF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K_W20 </w:t>
            </w:r>
          </w:p>
        </w:tc>
      </w:tr>
      <w:tr w:rsidR="00C967E7" w14:paraId="1B468B56" w14:textId="77777777">
        <w:trPr>
          <w:trHeight w:val="567"/>
          <w:jc w:val="center"/>
        </w:trPr>
        <w:tc>
          <w:tcPr>
            <w:tcW w:w="1519" w:type="dxa"/>
          </w:tcPr>
          <w:p w14:paraId="2890A3A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6"/>
          </w:tcPr>
          <w:p w14:paraId="4FE42A0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Krytycznie porównuje tekst naukowy i publicystyczny oraz stosuje zasady kompozycji tekstu akademickiego i cytowania zgodnie z normami rzetelności naukowej.</w:t>
            </w:r>
          </w:p>
        </w:tc>
        <w:tc>
          <w:tcPr>
            <w:tcW w:w="2482" w:type="dxa"/>
            <w:gridSpan w:val="3"/>
          </w:tcPr>
          <w:p w14:paraId="7F2DCE0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K_W18</w:t>
            </w:r>
          </w:p>
        </w:tc>
      </w:tr>
      <w:tr w:rsidR="00C967E7" w14:paraId="66EE7A26" w14:textId="77777777">
        <w:trPr>
          <w:trHeight w:val="567"/>
          <w:jc w:val="center"/>
        </w:trPr>
        <w:tc>
          <w:tcPr>
            <w:tcW w:w="1519" w:type="dxa"/>
          </w:tcPr>
          <w:p w14:paraId="7C5C2826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6"/>
          </w:tcPr>
          <w:p w14:paraId="767D25B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Projektuje i realizuje wyszukiwanie literatury do problemu, selekcjonuje i ocenia jakość źródeł oraz sporządza bibliografię zgodną z przyjętym standardem.</w:t>
            </w:r>
          </w:p>
        </w:tc>
        <w:tc>
          <w:tcPr>
            <w:tcW w:w="2482" w:type="dxa"/>
            <w:gridSpan w:val="3"/>
          </w:tcPr>
          <w:p w14:paraId="3A1C3372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</w:tr>
      <w:tr w:rsidR="00C967E7" w14:paraId="73E2BFF3" w14:textId="77777777">
        <w:trPr>
          <w:trHeight w:val="293"/>
          <w:jc w:val="center"/>
        </w:trPr>
        <w:tc>
          <w:tcPr>
            <w:tcW w:w="1519" w:type="dxa"/>
          </w:tcPr>
          <w:p w14:paraId="65D0E68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6"/>
          </w:tcPr>
          <w:p w14:paraId="1A29E53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Opracowuje krótki tekst akademicki (np. streszczenie/raport) zgodnie ze standardami edytorskimi i zasadami etycznego wykorzystania źródeł.</w:t>
            </w:r>
          </w:p>
        </w:tc>
        <w:tc>
          <w:tcPr>
            <w:tcW w:w="2482" w:type="dxa"/>
            <w:gridSpan w:val="3"/>
          </w:tcPr>
          <w:p w14:paraId="544B9D6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</w:tc>
      </w:tr>
      <w:tr w:rsidR="00C967E7" w14:paraId="148DD38B" w14:textId="77777777">
        <w:trPr>
          <w:trHeight w:val="567"/>
          <w:jc w:val="center"/>
        </w:trPr>
        <w:tc>
          <w:tcPr>
            <w:tcW w:w="1519" w:type="dxa"/>
          </w:tcPr>
          <w:p w14:paraId="5CEAC25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6"/>
          </w:tcPr>
          <w:p w14:paraId="352D6CC7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Wykazuje odpowiedzialność za jakość współpracy i komunikacji w środowisku akademickim oraz stosuje zasady kultury studiowania.</w:t>
            </w:r>
          </w:p>
        </w:tc>
        <w:tc>
          <w:tcPr>
            <w:tcW w:w="2482" w:type="dxa"/>
            <w:gridSpan w:val="3"/>
          </w:tcPr>
          <w:p w14:paraId="28CE7C93" w14:textId="69AB056F" w:rsidR="00C967E7" w:rsidRDefault="00000000" w:rsidP="007E70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7E70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C967E7" w14:paraId="37E660C0" w14:textId="77777777">
        <w:trPr>
          <w:trHeight w:val="567"/>
          <w:jc w:val="center"/>
        </w:trPr>
        <w:tc>
          <w:tcPr>
            <w:tcW w:w="1519" w:type="dxa"/>
          </w:tcPr>
          <w:p w14:paraId="1FF9418E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6197" w:type="dxa"/>
            <w:gridSpan w:val="6"/>
          </w:tcPr>
          <w:p w14:paraId="3854B80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Wykazuje samodzielność i rzetelność w pracy akademickiej oraz konsekwentnie respektuje ochronę własności intelektualnej i zasady uczciwości akademickiej.</w:t>
            </w:r>
          </w:p>
        </w:tc>
        <w:tc>
          <w:tcPr>
            <w:tcW w:w="2482" w:type="dxa"/>
            <w:gridSpan w:val="3"/>
          </w:tcPr>
          <w:p w14:paraId="2525D844" w14:textId="4E78E445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7E70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C967E7" w14:paraId="3EDA1E52" w14:textId="77777777">
        <w:trPr>
          <w:trHeight w:val="567"/>
          <w:jc w:val="center"/>
        </w:trPr>
        <w:tc>
          <w:tcPr>
            <w:tcW w:w="10198" w:type="dxa"/>
            <w:gridSpan w:val="10"/>
            <w:shd w:val="clear" w:color="auto" w:fill="D5DCE4"/>
            <w:vAlign w:val="center"/>
          </w:tcPr>
          <w:p w14:paraId="1C1A7A7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C967E7" w14:paraId="257AB057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0CA14DE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38F63C2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EF304E2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C0F323C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E07035C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E18B8E9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C967E7" w14:paraId="1DC4F6F1" w14:textId="77777777">
        <w:trPr>
          <w:trHeight w:val="567"/>
          <w:jc w:val="center"/>
        </w:trPr>
        <w:tc>
          <w:tcPr>
            <w:tcW w:w="1519" w:type="dxa"/>
          </w:tcPr>
          <w:p w14:paraId="6ECBD072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</w:tcPr>
          <w:p w14:paraId="1C08934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K_W20  </w:t>
            </w:r>
          </w:p>
        </w:tc>
        <w:tc>
          <w:tcPr>
            <w:tcW w:w="1471" w:type="dxa"/>
            <w:gridSpan w:val="2"/>
          </w:tcPr>
          <w:p w14:paraId="10062FE9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74" w:type="dxa"/>
          </w:tcPr>
          <w:p w14:paraId="5868A47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C1-C2</w:t>
            </w:r>
          </w:p>
        </w:tc>
        <w:tc>
          <w:tcPr>
            <w:tcW w:w="1871" w:type="dxa"/>
            <w:gridSpan w:val="4"/>
            <w:vAlign w:val="center"/>
          </w:tcPr>
          <w:p w14:paraId="4179F9C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7F7099B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C967E7" w14:paraId="6D4B5BAA" w14:textId="77777777">
        <w:trPr>
          <w:trHeight w:val="567"/>
          <w:jc w:val="center"/>
        </w:trPr>
        <w:tc>
          <w:tcPr>
            <w:tcW w:w="1519" w:type="dxa"/>
          </w:tcPr>
          <w:p w14:paraId="284234B9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</w:tcPr>
          <w:p w14:paraId="0EED6764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K_W18</w:t>
            </w:r>
          </w:p>
        </w:tc>
        <w:tc>
          <w:tcPr>
            <w:tcW w:w="1471" w:type="dxa"/>
            <w:gridSpan w:val="2"/>
          </w:tcPr>
          <w:p w14:paraId="44A4140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</w:t>
            </w:r>
          </w:p>
        </w:tc>
        <w:tc>
          <w:tcPr>
            <w:tcW w:w="2074" w:type="dxa"/>
          </w:tcPr>
          <w:p w14:paraId="65A26E2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C3-C5</w:t>
            </w:r>
          </w:p>
        </w:tc>
        <w:tc>
          <w:tcPr>
            <w:tcW w:w="1871" w:type="dxa"/>
            <w:gridSpan w:val="4"/>
            <w:vAlign w:val="center"/>
          </w:tcPr>
          <w:p w14:paraId="2368747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79487F5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C967E7" w14:paraId="32F5E100" w14:textId="77777777">
        <w:trPr>
          <w:trHeight w:val="567"/>
          <w:jc w:val="center"/>
        </w:trPr>
        <w:tc>
          <w:tcPr>
            <w:tcW w:w="1519" w:type="dxa"/>
          </w:tcPr>
          <w:p w14:paraId="7F08883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</w:tcPr>
          <w:p w14:paraId="055E5869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  <w:tc>
          <w:tcPr>
            <w:tcW w:w="1471" w:type="dxa"/>
            <w:gridSpan w:val="2"/>
          </w:tcPr>
          <w:p w14:paraId="0F72711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</w:t>
            </w:r>
          </w:p>
        </w:tc>
        <w:tc>
          <w:tcPr>
            <w:tcW w:w="2074" w:type="dxa"/>
          </w:tcPr>
          <w:p w14:paraId="34684024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C3-C5</w:t>
            </w:r>
          </w:p>
        </w:tc>
        <w:tc>
          <w:tcPr>
            <w:tcW w:w="1871" w:type="dxa"/>
            <w:gridSpan w:val="4"/>
            <w:vAlign w:val="center"/>
          </w:tcPr>
          <w:p w14:paraId="1E7169F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7FF9F34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C967E7" w14:paraId="28EDD055" w14:textId="77777777">
        <w:trPr>
          <w:trHeight w:val="567"/>
          <w:jc w:val="center"/>
        </w:trPr>
        <w:tc>
          <w:tcPr>
            <w:tcW w:w="1519" w:type="dxa"/>
          </w:tcPr>
          <w:p w14:paraId="1DC5957E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</w:tcPr>
          <w:p w14:paraId="4004CA1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</w:tc>
        <w:tc>
          <w:tcPr>
            <w:tcW w:w="1471" w:type="dxa"/>
            <w:gridSpan w:val="2"/>
          </w:tcPr>
          <w:p w14:paraId="12CA44A7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C2</w:t>
            </w:r>
          </w:p>
        </w:tc>
        <w:tc>
          <w:tcPr>
            <w:tcW w:w="2074" w:type="dxa"/>
          </w:tcPr>
          <w:p w14:paraId="74B88226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C3-C5</w:t>
            </w:r>
          </w:p>
        </w:tc>
        <w:tc>
          <w:tcPr>
            <w:tcW w:w="1871" w:type="dxa"/>
            <w:gridSpan w:val="4"/>
            <w:vAlign w:val="center"/>
          </w:tcPr>
          <w:p w14:paraId="6565D09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0DFFC9C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C967E7" w14:paraId="5A1989F5" w14:textId="77777777">
        <w:trPr>
          <w:trHeight w:val="567"/>
          <w:jc w:val="center"/>
        </w:trPr>
        <w:tc>
          <w:tcPr>
            <w:tcW w:w="1519" w:type="dxa"/>
          </w:tcPr>
          <w:p w14:paraId="465E275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</w:tcPr>
          <w:p w14:paraId="05D21A79" w14:textId="32A0333A" w:rsidR="00C967E7" w:rsidRDefault="00000000" w:rsidP="007E70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7E70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</w:p>
        </w:tc>
        <w:tc>
          <w:tcPr>
            <w:tcW w:w="1471" w:type="dxa"/>
            <w:gridSpan w:val="2"/>
          </w:tcPr>
          <w:p w14:paraId="684E3ED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</w:tcPr>
          <w:p w14:paraId="1CCCADD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C1-C5</w:t>
            </w:r>
          </w:p>
        </w:tc>
        <w:tc>
          <w:tcPr>
            <w:tcW w:w="1871" w:type="dxa"/>
            <w:gridSpan w:val="4"/>
            <w:vAlign w:val="center"/>
          </w:tcPr>
          <w:p w14:paraId="73370499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20B85174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C967E7" w14:paraId="7656D8D4" w14:textId="77777777">
        <w:trPr>
          <w:trHeight w:val="567"/>
          <w:jc w:val="center"/>
        </w:trPr>
        <w:tc>
          <w:tcPr>
            <w:tcW w:w="1519" w:type="dxa"/>
          </w:tcPr>
          <w:p w14:paraId="20CE6C66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E2_K</w:t>
            </w:r>
          </w:p>
        </w:tc>
        <w:tc>
          <w:tcPr>
            <w:tcW w:w="1811" w:type="dxa"/>
          </w:tcPr>
          <w:p w14:paraId="2A214A37" w14:textId="5B79DB48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7E70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71" w:type="dxa"/>
            <w:gridSpan w:val="2"/>
          </w:tcPr>
          <w:p w14:paraId="5A28EC8E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C2</w:t>
            </w:r>
          </w:p>
        </w:tc>
        <w:tc>
          <w:tcPr>
            <w:tcW w:w="2074" w:type="dxa"/>
          </w:tcPr>
          <w:p w14:paraId="6F07F5D9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C1-C5</w:t>
            </w:r>
          </w:p>
        </w:tc>
        <w:tc>
          <w:tcPr>
            <w:tcW w:w="1871" w:type="dxa"/>
            <w:gridSpan w:val="4"/>
            <w:vAlign w:val="center"/>
          </w:tcPr>
          <w:p w14:paraId="1F6F861D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52" w:type="dxa"/>
            <w:vAlign w:val="center"/>
          </w:tcPr>
          <w:p w14:paraId="1478B8D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</w:t>
            </w:r>
          </w:p>
        </w:tc>
      </w:tr>
      <w:tr w:rsidR="00C967E7" w14:paraId="4D8F327D" w14:textId="77777777">
        <w:trPr>
          <w:trHeight w:val="567"/>
          <w:jc w:val="center"/>
        </w:trPr>
        <w:tc>
          <w:tcPr>
            <w:tcW w:w="10198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CC931F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C967E7" w14:paraId="1EB0B575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0990CA3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 zajęć</w:t>
            </w:r>
          </w:p>
        </w:tc>
        <w:tc>
          <w:tcPr>
            <w:tcW w:w="3800" w:type="dxa"/>
            <w:gridSpan w:val="3"/>
            <w:vMerge w:val="restart"/>
            <w:shd w:val="clear" w:color="auto" w:fill="D5DCE4"/>
            <w:vAlign w:val="center"/>
          </w:tcPr>
          <w:p w14:paraId="12A9790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0A955A2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C967E7" w14:paraId="35AC1A29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7C2E05D1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shd w:val="clear" w:color="auto" w:fill="D5DCE4"/>
            <w:vAlign w:val="center"/>
          </w:tcPr>
          <w:p w14:paraId="0CA22B99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446F4C0C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7CC53C6D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</w:tr>
      <w:tr w:rsidR="00C967E7" w14:paraId="2AC1FAD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674546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3"/>
            <w:vMerge w:val="restart"/>
            <w:vAlign w:val="center"/>
          </w:tcPr>
          <w:p w14:paraId="57D71ED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72C781CF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ACBE2A0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5A6B45B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EC1583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0A62C3E0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A012658" w14:textId="77777777" w:rsidR="00C967E7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85" w:type="dxa"/>
            <w:gridSpan w:val="2"/>
            <w:vAlign w:val="center"/>
          </w:tcPr>
          <w:p w14:paraId="6928B9C2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967E7" w14:paraId="67324D8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605EF33E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35A68956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0EF6CBA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C2AF629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3DC9B0E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FD4E43A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754430AD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40C521C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7B6E059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33DBC7A3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D94E12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538DFDA4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09485539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6FA1A9D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17153A3C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11868073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6FFA7326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6205B8F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265665F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6671050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467BC9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3"/>
            <w:vMerge/>
            <w:vAlign w:val="center"/>
          </w:tcPr>
          <w:p w14:paraId="3ABB519D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F36BC91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31ECD9EC" w14:textId="77777777" w:rsidR="00C967E7" w:rsidRDefault="00C967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967E7" w14:paraId="07D5076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18D9E224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3"/>
            <w:vAlign w:val="center"/>
          </w:tcPr>
          <w:p w14:paraId="79C52C55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1C42ADFF" w14:textId="77777777" w:rsidR="00C967E7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85" w:type="dxa"/>
            <w:gridSpan w:val="2"/>
            <w:vAlign w:val="center"/>
          </w:tcPr>
          <w:p w14:paraId="4519BF84" w14:textId="77777777" w:rsidR="00C967E7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C967E7" w14:paraId="400B9EAA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28A4CE5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5EB4A96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53D4E2A9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9085758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967E7" w14:paraId="181C1E5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8D2B57A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6688DB5D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2B547B05" w14:textId="77777777" w:rsidR="00C967E7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85" w:type="dxa"/>
            <w:gridSpan w:val="2"/>
            <w:vAlign w:val="center"/>
          </w:tcPr>
          <w:p w14:paraId="6300286F" w14:textId="77777777" w:rsidR="00C967E7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C967E7" w14:paraId="744FDE3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09C3C3CC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363B2FB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17A17730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86636C5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967E7" w14:paraId="4E9DD5B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370D8641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1CE4392B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7A71DA05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CC5E2E1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967E7" w14:paraId="190F15AF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81B95D6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Align w:val="center"/>
          </w:tcPr>
          <w:p w14:paraId="754FDE7F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1417B157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BFB0C2D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967E7" w14:paraId="08849B2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72BF8D73" w14:textId="77777777" w:rsidR="00C967E7" w:rsidRDefault="00C967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tcBorders>
              <w:bottom w:val="single" w:sz="4" w:space="0" w:color="000000"/>
            </w:tcBorders>
            <w:vAlign w:val="center"/>
          </w:tcPr>
          <w:p w14:paraId="39A25B6E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249A5F1B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13F67F9" w14:textId="77777777" w:rsidR="00C967E7" w:rsidRDefault="00C967E7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967E7" w14:paraId="61256486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62408C31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614F2504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1485" w:type="dxa"/>
            <w:gridSpan w:val="2"/>
            <w:vAlign w:val="center"/>
          </w:tcPr>
          <w:p w14:paraId="344BF5E7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</w:tr>
      <w:tr w:rsidR="00C967E7" w14:paraId="27A990B8" w14:textId="77777777">
        <w:trPr>
          <w:trHeight w:val="567"/>
          <w:jc w:val="center"/>
        </w:trPr>
        <w:tc>
          <w:tcPr>
            <w:tcW w:w="7226" w:type="dxa"/>
            <w:gridSpan w:val="6"/>
            <w:shd w:val="clear" w:color="auto" w:fill="F2F2F2"/>
            <w:vAlign w:val="center"/>
          </w:tcPr>
          <w:p w14:paraId="728E5F10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5AE1E8B7" w14:textId="77777777" w:rsidR="00C967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</w:tr>
    </w:tbl>
    <w:p w14:paraId="2F21AD53" w14:textId="77777777" w:rsidR="00C967E7" w:rsidRDefault="00C96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3A0311C2" w14:textId="77777777" w:rsidR="00C967E7" w:rsidRDefault="00C96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C967E7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7C80" w14:textId="77777777" w:rsidR="002C59A0" w:rsidRDefault="002C59A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2AD7229" w14:textId="77777777" w:rsidR="002C59A0" w:rsidRDefault="002C59A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32A0600-426F-46CD-A3DD-6D08F435A7C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D1714D-FA2A-4DB7-A236-710C329C376D}"/>
    <w:embedBold r:id="rId3" w:fontKey="{9A976851-BF37-411E-A40A-7968E922B0E7}"/>
    <w:embedItalic r:id="rId4" w:fontKey="{A1517AD5-4503-4468-9B6B-58C8331F78F6}"/>
    <w:embedBoldItalic r:id="rId5" w:fontKey="{ACE871E3-9318-4604-B47F-1FBC4C0FF9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84543754-F7FD-4312-9A22-939709298936}"/>
    <w:embedBold r:id="rId7" w:fontKey="{DF7FB748-DB97-4766-BBDD-450C76706EE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AFE80A5B-0541-429D-82F1-FEB2FDC04860}"/>
    <w:embedBold r:id="rId9" w:fontKey="{93EF6833-2CA6-4510-B780-714668F4BE2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D0A528E6-09F5-4629-8381-3E7B3D03F97F}"/>
    <w:embedItalic r:id="rId11" w:fontKey="{7F868958-05FE-4399-B934-102B4DC114E8}"/>
  </w:font>
  <w:font w:name="EUAlbertina"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CC7CA3F5-49D5-4B3C-8360-C69002B6C29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FE6914E5-9D40-4858-8B44-81B29C4EA3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2584" w14:textId="77777777" w:rsidR="00C967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E5773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2F009F3" w14:textId="77777777" w:rsidR="00C967E7" w:rsidRDefault="00C967E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E044" w14:textId="77777777" w:rsidR="002C59A0" w:rsidRDefault="002C59A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3CF2E52" w14:textId="77777777" w:rsidR="002C59A0" w:rsidRDefault="002C59A0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0242"/>
    <w:multiLevelType w:val="multilevel"/>
    <w:tmpl w:val="AB3A3F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9595B89"/>
    <w:multiLevelType w:val="multilevel"/>
    <w:tmpl w:val="9BCA3684"/>
    <w:lvl w:ilvl="0">
      <w:start w:val="1"/>
      <w:numFmt w:val="bullet"/>
      <w:lvlText w:val="⎯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1C9D644C"/>
    <w:multiLevelType w:val="multilevel"/>
    <w:tmpl w:val="0068D9A4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70F11F0"/>
    <w:multiLevelType w:val="multilevel"/>
    <w:tmpl w:val="C6EAA73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321077991">
    <w:abstractNumId w:val="0"/>
  </w:num>
  <w:num w:numId="2" w16cid:durableId="825896010">
    <w:abstractNumId w:val="2"/>
  </w:num>
  <w:num w:numId="3" w16cid:durableId="1445730778">
    <w:abstractNumId w:val="3"/>
  </w:num>
  <w:num w:numId="4" w16cid:durableId="836699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E7"/>
    <w:rsid w:val="00242B44"/>
    <w:rsid w:val="002C59A0"/>
    <w:rsid w:val="00432FBF"/>
    <w:rsid w:val="007E70C9"/>
    <w:rsid w:val="00C967E7"/>
    <w:rsid w:val="00E5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0DE3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tk83lZbJhniZyXLc0Zf9yzFtrA==">CgMxLjA4AHIhMWI3cWI0S29DenVKSFU0azFXZXpTd2Q3cjRTMVRvRUZJ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1106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4</cp:revision>
  <dcterms:created xsi:type="dcterms:W3CDTF">2026-03-11T22:14:00Z</dcterms:created>
  <dcterms:modified xsi:type="dcterms:W3CDTF">2026-03-11T22:15:00Z</dcterms:modified>
</cp:coreProperties>
</file>