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9C62" w14:textId="77777777" w:rsidR="00DF1733" w:rsidRDefault="00CF785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6BBB8E8" wp14:editId="4AB190F2">
            <wp:simplePos x="0" y="0"/>
            <wp:positionH relativeFrom="column">
              <wp:posOffset>-419099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F03810" w14:textId="77777777" w:rsidR="00DF1733" w:rsidRDefault="00DF1733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1782"/>
        <w:gridCol w:w="94"/>
        <w:gridCol w:w="1352"/>
        <w:gridCol w:w="2041"/>
        <w:gridCol w:w="345"/>
        <w:gridCol w:w="482"/>
        <w:gridCol w:w="981"/>
        <w:gridCol w:w="32"/>
        <w:gridCol w:w="1421"/>
        <w:gridCol w:w="8"/>
      </w:tblGrid>
      <w:tr w:rsidR="00DF1733" w14:paraId="04D269C6" w14:textId="77777777">
        <w:trPr>
          <w:trHeight w:val="567"/>
          <w:jc w:val="center"/>
        </w:trPr>
        <w:tc>
          <w:tcPr>
            <w:tcW w:w="10032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9A39D33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DF1733" w14:paraId="3B8DD8DE" w14:textId="77777777">
        <w:trPr>
          <w:trHeight w:val="567"/>
          <w:jc w:val="center"/>
        </w:trPr>
        <w:tc>
          <w:tcPr>
            <w:tcW w:w="10032" w:type="dxa"/>
            <w:gridSpan w:val="11"/>
            <w:shd w:val="clear" w:color="auto" w:fill="FFFFFF"/>
            <w:vAlign w:val="center"/>
          </w:tcPr>
          <w:p w14:paraId="173085E8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fvmludesq52q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Dziedzina nauk humanistycznych</w:t>
            </w:r>
          </w:p>
        </w:tc>
      </w:tr>
      <w:tr w:rsidR="00DF1733" w14:paraId="19C712FD" w14:textId="77777777">
        <w:trPr>
          <w:trHeight w:val="567"/>
          <w:jc w:val="center"/>
        </w:trPr>
        <w:tc>
          <w:tcPr>
            <w:tcW w:w="3276" w:type="dxa"/>
            <w:gridSpan w:val="2"/>
            <w:vAlign w:val="center"/>
          </w:tcPr>
          <w:p w14:paraId="4BC59058" w14:textId="77777777" w:rsidR="00DF1733" w:rsidRDefault="00CF7850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756" w:type="dxa"/>
            <w:gridSpan w:val="9"/>
            <w:vAlign w:val="center"/>
          </w:tcPr>
          <w:p w14:paraId="753F55AF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</w:tr>
      <w:tr w:rsidR="00DF1733" w14:paraId="22CE595D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0530237E" w14:textId="77777777" w:rsidR="00DF1733" w:rsidRDefault="00CF7850">
            <w:pPr>
              <w:pStyle w:val="Nagwek1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DF1733" w14:paraId="7DFC0DFD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61470E4A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DF1733" w14:paraId="27C228C1" w14:textId="77777777">
        <w:trPr>
          <w:trHeight w:val="567"/>
          <w:jc w:val="center"/>
        </w:trPr>
        <w:tc>
          <w:tcPr>
            <w:tcW w:w="10032" w:type="dxa"/>
            <w:gridSpan w:val="11"/>
            <w:tcBorders>
              <w:bottom w:val="single" w:sz="4" w:space="0" w:color="000000"/>
            </w:tcBorders>
            <w:vAlign w:val="center"/>
          </w:tcPr>
          <w:p w14:paraId="49B18C56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3B618899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DF1733" w14:paraId="1167B468" w14:textId="77777777">
        <w:trPr>
          <w:trHeight w:val="567"/>
          <w:jc w:val="center"/>
        </w:trPr>
        <w:tc>
          <w:tcPr>
            <w:tcW w:w="10032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EA23F6A" w14:textId="77777777" w:rsidR="00DF1733" w:rsidRDefault="00CF785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FILOZOFIA</w:t>
            </w:r>
          </w:p>
        </w:tc>
      </w:tr>
      <w:tr w:rsidR="00DF1733" w14:paraId="730D471B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5280A6AA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2C869A08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kluczowych nurtów i pojęć filozoficznych oraz ich znaczenia dla sposobu uprawiania nauki i interpretacji zjawisk psychologicznych.</w:t>
            </w:r>
          </w:p>
          <w:p w14:paraId="42CFE951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Rozwinięcie umiejętności analizy i krytycznej oceny argumentów filozoficznych (np. dotyczących poznania, wolności, natury człowieka) oraz ich konsekwencji dla myślenia naukowego i społecznego.</w:t>
            </w:r>
          </w:p>
          <w:p w14:paraId="3D369C0C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zdolności do samodzielnego formułowania i uzasadniania stanowiska w dyskusji nad problemami filozoficznymi z wykorzystaniem adekwatnej terminologii.</w:t>
            </w:r>
          </w:p>
        </w:tc>
      </w:tr>
      <w:tr w:rsidR="00DF1733" w14:paraId="13518640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5F6DD356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DF1733" w14:paraId="19B74082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39981054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Student/ka dysponuje kompetencjami umożliwiającymi analizę tekstu i argumentacji oraz formułowanie uzasadnionych stanowisk w dyskusji; jest gotów/gotowa do pracy z literaturą filozoficzną i do krytycznej refleksji nad problemami poznania, wartości i natury człowieka.</w:t>
            </w:r>
          </w:p>
        </w:tc>
      </w:tr>
      <w:tr w:rsidR="00DF1733" w14:paraId="2DD8ADFC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26327479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78AB171A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Wykłady (Pd1, Pd2)</w:t>
            </w:r>
          </w:p>
          <w:p w14:paraId="56A235C8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(Pd3)</w:t>
            </w:r>
          </w:p>
          <w:p w14:paraId="27F624E1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(Pd2)</w:t>
            </w:r>
          </w:p>
          <w:p w14:paraId="28F1A2CF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Konsultacje (Pd2, Pd4)</w:t>
            </w:r>
          </w:p>
          <w:p w14:paraId="58FF9539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600C841F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materiały dydaktyczne (slajdy, handouty, materiały PDF)</w:t>
            </w:r>
          </w:p>
          <w:p w14:paraId="5B357FFD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Literatura przedmiotu (monografie, teksty źródłowe, fragmenty wskazanych rozdziałów) + wybrane artykuły do analizy.</w:t>
            </w:r>
          </w:p>
          <w:p w14:paraId="2E7BE7E0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Zestawy pytań problemowych i przykłady argumentacji do dyskusji (studia przypadków pojęć/tez, krótkie teksty do analizy).</w:t>
            </w:r>
          </w:p>
          <w:p w14:paraId="627B437B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Pd4</w:t>
            </w:r>
            <w:r>
              <w:rPr>
                <w:rFonts w:ascii="Times New Roman" w:eastAsia="Times New Roman" w:hAnsi="Times New Roman" w:cs="Times New Roman"/>
              </w:rPr>
              <w:t xml:space="preserve"> Arkusze pracy/karteczki zadań do analizy argumentów i pojęć + kryteria oceny argumentacji (checklista).</w:t>
            </w:r>
          </w:p>
        </w:tc>
      </w:tr>
      <w:tr w:rsidR="00DF1733" w14:paraId="38038080" w14:textId="77777777">
        <w:trPr>
          <w:trHeight w:val="273"/>
          <w:jc w:val="center"/>
        </w:trPr>
        <w:tc>
          <w:tcPr>
            <w:tcW w:w="10032" w:type="dxa"/>
            <w:gridSpan w:val="11"/>
            <w:shd w:val="clear" w:color="auto" w:fill="DBE5F1"/>
            <w:vAlign w:val="center"/>
          </w:tcPr>
          <w:p w14:paraId="6C977064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08BF8FFD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F1733" w14:paraId="74FF1073" w14:textId="77777777">
        <w:trPr>
          <w:trHeight w:val="273"/>
          <w:jc w:val="center"/>
        </w:trPr>
        <w:tc>
          <w:tcPr>
            <w:tcW w:w="10032" w:type="dxa"/>
            <w:gridSpan w:val="11"/>
            <w:vAlign w:val="center"/>
          </w:tcPr>
          <w:p w14:paraId="7965930D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</w:t>
            </w:r>
          </w:p>
          <w:p w14:paraId="48C750C9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Cechy myślenia filozoficznego: analiza różnic między myśleniem potocznym, naukowym i filozoficznym; uwarunkowania psychologiczne wnioskowania.</w:t>
            </w:r>
          </w:p>
          <w:p w14:paraId="2172FAA0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Działy filozofii: epistemologia, metafizyka, etyka, antropologia, filozofia nauki — znaczenie dla interpretacji problemów psychologii.</w:t>
            </w:r>
          </w:p>
          <w:p w14:paraId="53058A2A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Filozofia starożytna i średniowieczna: porównanie stanowisk (Sokrates, Platon, Arystoteles, Epikur, stoicy, Augustyn, Tomasz z Akwinu) i ich konsekwencje dla rozumienia cnoty, sprawstwa, dobra i szczęścia.</w:t>
            </w:r>
          </w:p>
          <w:p w14:paraId="16925663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Nowożytność i oświecenie: analiza sporów o źródła poznania, metodę i granice rozumu (Kartezjusz, Bacon, Locke, Kant) oraz implikacje dla pojęcia podmiotu i odpowiedzialności.</w:t>
            </w:r>
          </w:p>
          <w:p w14:paraId="0708C160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Sokrates: intelektualizm etyczny, metoda dochodzenia do wiedzy.</w:t>
            </w:r>
          </w:p>
          <w:p w14:paraId="75EF3632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Platon: teoria idei (metafora jaskini), dusza i cnoty, koncepcja sprawiedliwego państwa.</w:t>
            </w:r>
          </w:p>
        </w:tc>
      </w:tr>
      <w:tr w:rsidR="00DF1733" w14:paraId="0A4D65E2" w14:textId="77777777">
        <w:trPr>
          <w:trHeight w:val="2117"/>
          <w:jc w:val="center"/>
        </w:trPr>
        <w:tc>
          <w:tcPr>
            <w:tcW w:w="10032" w:type="dxa"/>
            <w:gridSpan w:val="11"/>
          </w:tcPr>
          <w:p w14:paraId="78270861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Arystoteles: podział wiedzy, przyczyny, kategorie, złożenia bytowe.</w:t>
            </w:r>
          </w:p>
          <w:p w14:paraId="0C797424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Arystoteles: eudajmonia, szczęście, podział duszy, cnoty intelektualne i etyczne, zasada złotego środka.</w:t>
            </w:r>
          </w:p>
          <w:p w14:paraId="2A694925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Epikur: szczęście, podział potrzeb, praca z lękiem.</w:t>
            </w:r>
          </w:p>
          <w:p w14:paraId="2427CF88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Stoicy: fizyczne podstawy etyki, ideał mędrca, amor fati, prawo natury, sumienie.</w:t>
            </w:r>
          </w:p>
          <w:p w14:paraId="26516C00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Augustyn: hierarchia dóbr, wolna wola, błędne wybory.</w:t>
            </w:r>
          </w:p>
          <w:p w14:paraId="1CA8FC71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Tomasz z Akwinu: argumenty za istnieniem Boga, hierarchia bytów, porządek prawa.</w:t>
            </w:r>
          </w:p>
          <w:p w14:paraId="19E9369F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Kartezjusz: sceptycyzm metodyczny,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cogito ergo sum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dualizm.</w:t>
            </w:r>
          </w:p>
          <w:p w14:paraId="22E134C0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Francis Bacon: empiryzm, idole, metoda.</w:t>
            </w:r>
          </w:p>
          <w:p w14:paraId="34B16C10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John Locke: „metoda psychologiczna”, idee w umyśle, doświadczenie.</w:t>
            </w:r>
          </w:p>
          <w:p w14:paraId="158B7223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Immanuel Kant: filozofia transcendentalna, imperatyw kategoryczny, autonomia.</w:t>
            </w:r>
          </w:p>
          <w:p w14:paraId="21A677C4" w14:textId="77777777" w:rsidR="00DF1733" w:rsidRDefault="00CF78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Determinizm a wolność w XIX–XX w.: główne pytania filozoficzne i ich konsekwencje dla rozumienia zachowania i odpowiedzialności.</w:t>
            </w:r>
          </w:p>
        </w:tc>
      </w:tr>
      <w:tr w:rsidR="00DF1733" w14:paraId="4B7695BA" w14:textId="77777777">
        <w:trPr>
          <w:trHeight w:val="704"/>
          <w:jc w:val="center"/>
        </w:trPr>
        <w:tc>
          <w:tcPr>
            <w:tcW w:w="10032" w:type="dxa"/>
            <w:gridSpan w:val="11"/>
            <w:vAlign w:val="center"/>
          </w:tcPr>
          <w:p w14:paraId="564A541C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7C899B2C" w14:textId="77777777" w:rsidR="00DF1733" w:rsidRDefault="00CF7850">
            <w:pPr>
              <w:numPr>
                <w:ilvl w:val="0"/>
                <w:numId w:val="3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Tatarkiewicz W.,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Historia filozofii,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t. 1 – 3, dowolne wydanie</w:t>
            </w:r>
          </w:p>
          <w:p w14:paraId="4612E17E" w14:textId="77777777" w:rsidR="00DF1733" w:rsidRDefault="00CF785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(T1 – wstęp, pojęcie filozofii, działy filozofii; rozdziały dotyczące filozofii starożytnej; Św. Augustyn)</w:t>
            </w:r>
          </w:p>
          <w:p w14:paraId="5D617803" w14:textId="77777777" w:rsidR="00DF1733" w:rsidRDefault="00CF785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(T2 – św. Tomasz; Kartezjusz, Locke, Kant, Bacon)</w:t>
            </w:r>
          </w:p>
          <w:p w14:paraId="7F45F1BD" w14:textId="77777777" w:rsidR="00DF1733" w:rsidRDefault="00CF785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(T3 – Sartre, pozytywizm)</w:t>
            </w:r>
          </w:p>
          <w:p w14:paraId="3957DA05" w14:textId="77777777" w:rsidR="00DF1733" w:rsidRDefault="00CF7850">
            <w:pPr>
              <w:numPr>
                <w:ilvl w:val="0"/>
                <w:numId w:val="3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Höffe O.,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Mała historia filozofii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PWN, Warszawa 2006.</w:t>
            </w:r>
          </w:p>
          <w:p w14:paraId="7A53BD1E" w14:textId="77777777" w:rsidR="00DF1733" w:rsidRDefault="00CF785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Rozdział I (Co to jest filozofia?).</w:t>
            </w:r>
          </w:p>
          <w:p w14:paraId="798B16CA" w14:textId="77777777" w:rsidR="00DF1733" w:rsidRDefault="00CF7850">
            <w:pPr>
              <w:numPr>
                <w:ilvl w:val="0"/>
                <w:numId w:val="3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Andersen S.,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Wprowadzenie do etyki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Dialog, Warszawa 2003.</w:t>
            </w:r>
          </w:p>
          <w:p w14:paraId="67F63CFD" w14:textId="77777777" w:rsidR="00DF1733" w:rsidRDefault="00CF785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Rozdział 1 i 2 (Natura etyki, etyka a inne dyscypliny; rozdziały o eudajmonizmie i etyce cnoty, rozdział o deontologii, o przewrocie kopernikańskim Kanta)</w:t>
            </w:r>
          </w:p>
          <w:p w14:paraId="6C8EAE9E" w14:textId="77777777" w:rsidR="00DF1733" w:rsidRDefault="00CF7850">
            <w:pPr>
              <w:numPr>
                <w:ilvl w:val="0"/>
                <w:numId w:val="3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Markiewicz B.,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Filozofia […]. Wybór tekstów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 PWN, Warszawa, dowolne wydane</w:t>
            </w:r>
          </w:p>
          <w:p w14:paraId="38CDD524" w14:textId="77777777" w:rsidR="00DF1733" w:rsidRDefault="00CF7850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(fragmenty dzieł filozofów starożytnych, teksty Św. Augustyna, Św. Tomasza) </w:t>
            </w:r>
          </w:p>
        </w:tc>
      </w:tr>
      <w:tr w:rsidR="00DF1733" w14:paraId="62688156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1F5ADDA2" w14:textId="77777777" w:rsidR="00DF1733" w:rsidRDefault="00CF78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uzupełniająca:</w:t>
            </w:r>
          </w:p>
          <w:p w14:paraId="7BF55A41" w14:textId="77777777" w:rsidR="00DF1733" w:rsidRDefault="00CF78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Hadot P.,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Czym jest filozofia starożytna?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Aleteia, Warszawa 2000</w:t>
            </w:r>
          </w:p>
          <w:p w14:paraId="0E94579E" w14:textId="77777777" w:rsidR="00DF1733" w:rsidRDefault="00CF7850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Hadot P.,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Ćwiczenia duchowe i filozofia starożytna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, Aleteia, Warszawa 2019</w:t>
            </w:r>
          </w:p>
          <w:p w14:paraId="6BF2005E" w14:textId="77777777" w:rsidR="00DF1733" w:rsidRDefault="00CF7850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Tatarkiewicz W.,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O szczęściu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dowolne wydanie</w:t>
            </w:r>
          </w:p>
          <w:p w14:paraId="3E050A4A" w14:textId="77777777" w:rsidR="00DF1733" w:rsidRDefault="00CF7850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Kołakowski L.,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O co nas pytają wielcy filozofowie?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, seria I – III, Znak, Kraków 2004 – 2007.</w:t>
            </w:r>
          </w:p>
        </w:tc>
      </w:tr>
      <w:tr w:rsidR="00DF1733" w14:paraId="14995921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5E36B2E2" w14:textId="77777777" w:rsidR="00DF1733" w:rsidRDefault="00CF785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73795E7E" w14:textId="77777777" w:rsidR="00DF1733" w:rsidRDefault="00CF785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F1- ocena aktywności na zajęciach, umiejętności analizy problemu i argumentowania na rzecz własnego stanowiska </w:t>
            </w:r>
          </w:p>
          <w:p w14:paraId="122AF22D" w14:textId="77777777" w:rsidR="00DF1733" w:rsidRDefault="00CF785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 – egzamin pisemny – test wiedzy</w:t>
            </w:r>
          </w:p>
        </w:tc>
      </w:tr>
      <w:tr w:rsidR="00DF1733" w14:paraId="16A971EE" w14:textId="77777777">
        <w:trPr>
          <w:trHeight w:val="567"/>
          <w:jc w:val="center"/>
        </w:trPr>
        <w:tc>
          <w:tcPr>
            <w:tcW w:w="10032" w:type="dxa"/>
            <w:gridSpan w:val="11"/>
            <w:vAlign w:val="center"/>
          </w:tcPr>
          <w:p w14:paraId="59FD03FB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tbl>
            <w:tblPr>
              <w:tblStyle w:val="a0"/>
              <w:tblW w:w="10819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122"/>
              <w:gridCol w:w="7697"/>
            </w:tblGrid>
            <w:tr w:rsidR="00DF1733" w14:paraId="62BBE1AD" w14:textId="77777777">
              <w:trPr>
                <w:trHeight w:val="744"/>
                <w:jc w:val="center"/>
              </w:trPr>
              <w:tc>
                <w:tcPr>
                  <w:tcW w:w="3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8E887A" w14:textId="77777777" w:rsidR="00DF1733" w:rsidRDefault="00CF785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bookmarkStart w:id="1" w:name="_heading=h.y5tav3jodtke" w:colFirst="0" w:colLast="0"/>
                  <w:bookmarkEnd w:id="1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Forma zajęć</w:t>
                  </w:r>
                </w:p>
              </w:tc>
              <w:tc>
                <w:tcPr>
                  <w:tcW w:w="7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16976C" w14:textId="77777777" w:rsidR="00DF1733" w:rsidRDefault="00CF785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Warunki zaliczenia zajęć</w:t>
                  </w:r>
                </w:p>
              </w:tc>
            </w:tr>
            <w:tr w:rsidR="00DF1733" w14:paraId="03D2D8F3" w14:textId="77777777">
              <w:trPr>
                <w:trHeight w:val="570"/>
                <w:jc w:val="center"/>
              </w:trPr>
              <w:tc>
                <w:tcPr>
                  <w:tcW w:w="3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CD82B6" w14:textId="77777777" w:rsidR="00DF1733" w:rsidRDefault="00CF785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Wykład</w:t>
                  </w:r>
                </w:p>
              </w:tc>
              <w:tc>
                <w:tcPr>
                  <w:tcW w:w="7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1C6A4A" w14:textId="77777777" w:rsidR="00DF1733" w:rsidRDefault="00CF7850">
                  <w:pPr>
                    <w:numPr>
                      <w:ilvl w:val="0"/>
                      <w:numId w:val="4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Egzamin pisemny (pytania testowe oraz pytania otwarte)</w:t>
                  </w:r>
                </w:p>
                <w:p w14:paraId="0426817D" w14:textId="77777777" w:rsidR="00DF1733" w:rsidRDefault="00CF7850">
                  <w:pPr>
                    <w:numPr>
                      <w:ilvl w:val="0"/>
                      <w:numId w:val="4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Egzamin odbędzie się stacjonarnie</w:t>
                  </w:r>
                </w:p>
                <w:p w14:paraId="54423B67" w14:textId="77777777" w:rsidR="00DF1733" w:rsidRDefault="00CF7850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747" w:hanging="415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Kryteria oceny końcowej: </w:t>
                  </w:r>
                </w:p>
                <w:p w14:paraId="0BEDB198" w14:textId="77777777" w:rsidR="00DF1733" w:rsidRDefault="00CF7850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Bardzo dobra (5,0) - od 91 % do 100 %</w:t>
                  </w:r>
                </w:p>
                <w:p w14:paraId="38C2B929" w14:textId="77777777" w:rsidR="00DF1733" w:rsidRDefault="00CF7850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Dobra plus (4,5) - od 81 % do 90 %</w:t>
                  </w:r>
                </w:p>
                <w:p w14:paraId="2146226D" w14:textId="77777777" w:rsidR="00DF1733" w:rsidRDefault="00CF7850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Dobra (4,0) - od 71 % do 80 %</w:t>
                  </w:r>
                </w:p>
                <w:p w14:paraId="1AA382D8" w14:textId="77777777" w:rsidR="00DF1733" w:rsidRDefault="00CF7850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Dostateczna plus (3,5) - od 61 % do 70 %</w:t>
                  </w:r>
                </w:p>
                <w:p w14:paraId="0DDF6ABE" w14:textId="77777777" w:rsidR="00DF1733" w:rsidRDefault="00CF7850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Dostateczna (3,0) - od 51 % do 60 %</w:t>
                  </w:r>
                </w:p>
                <w:p w14:paraId="4F0EBF6F" w14:textId="77777777" w:rsidR="00DF1733" w:rsidRDefault="00CF785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Niedostateczna (2,0) - poniżej 51 %</w:t>
                  </w:r>
                </w:p>
              </w:tc>
            </w:tr>
          </w:tbl>
          <w:p w14:paraId="4AD98AAA" w14:textId="77777777" w:rsidR="00DF1733" w:rsidRDefault="00DF1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F1733" w14:paraId="5B60925C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D846696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DF1733" w14:paraId="07700C9F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2DBB5A8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Symbol efektu uczenia się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1D4A68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605613C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DF1733" w14:paraId="12DFA0B4" w14:textId="77777777">
        <w:trPr>
          <w:gridAfter w:val="1"/>
          <w:wAfter w:w="8" w:type="dxa"/>
          <w:trHeight w:val="546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A0F0B9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3FD58D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Analizuje główne nurty filozoficzne oraz stanowiska antropologiczne wybranych autorów (starożytność–współczesność) i interpretuje ich związki z problemami psychologii.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CE7808" w14:textId="167EA337" w:rsidR="00DF1733" w:rsidRDefault="003C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C6D75">
              <w:rPr>
                <w:rFonts w:ascii="Times New Roman" w:eastAsia="Times New Roman" w:hAnsi="Times New Roman" w:cs="Times New Roman"/>
              </w:rPr>
              <w:t>K_W01, K_W03</w:t>
            </w:r>
          </w:p>
        </w:tc>
      </w:tr>
      <w:tr w:rsidR="00DF1733" w14:paraId="7DA539B4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24CC0B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B493BF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i interpretuje pojęcia filozoficzne w kontekście ich powstania oraz ocenia ich przydatność w opisie zjawisk społecznych i naukowych.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4C061" w14:textId="106B7A21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</w:t>
            </w:r>
            <w:r w:rsidR="003C6D7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F1733" w14:paraId="3513C98F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A3A0F5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62A682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Analizuje filozoficzne ujęcia poznania naukowego oraz krytycznie omawia spory i kontrowersje epistemologiczne.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9A71FC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K_W03</w:t>
            </w:r>
          </w:p>
        </w:tc>
      </w:tr>
      <w:tr w:rsidR="00DF1733" w14:paraId="6D7A8839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2833E9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E4_W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5C5DFE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Interpretuje filozoficzne podstawy systemów wartości i etyki społecznej oraz ocenia ich konsekwencje dla rozumienia norm i działań człowieka.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8EA5C7" w14:textId="2710B24F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</w:t>
            </w:r>
            <w:r w:rsidR="003C6D75">
              <w:rPr>
                <w:rFonts w:ascii="Times New Roman" w:eastAsia="Times New Roman" w:hAnsi="Times New Roman" w:cs="Times New Roman"/>
              </w:rPr>
              <w:t>01</w:t>
            </w:r>
          </w:p>
        </w:tc>
      </w:tr>
      <w:tr w:rsidR="00DF1733" w14:paraId="4E39CAC9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C8F71C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BC9F27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Formułuje i uzasadnia własne stanowisko w dyskusji, posługując się adekwatną terminologią filozoficzną i poprawną argumentacją.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32549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K_U01</w:t>
            </w:r>
          </w:p>
          <w:p w14:paraId="70E2F765" w14:textId="77777777" w:rsidR="00DF1733" w:rsidRDefault="00DF1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52C3128F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256CD8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CD5C8F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filozoficzny kontekst wybranych pojęć i paradygmatów psychologicznych oraz wskazuje konsekwencje przyjęcia określonych założeń.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64955D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K_U03</w:t>
            </w:r>
          </w:p>
        </w:tc>
      </w:tr>
      <w:tr w:rsidR="00DF1733" w14:paraId="0EBCA313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ABE8DE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115C38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Uczestniczy w dyskusji z poszanowaniem zasad argumentacji i krytycznego dialogu; okazuje szacunek dla odmiennych stanowisk.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0BCCCC" w14:textId="68C268B1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</w:t>
            </w:r>
            <w:r w:rsidR="003C6D7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F1733" w14:paraId="258EECDE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C8D835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1B4DF5" w14:textId="77777777" w:rsidR="00DF1733" w:rsidRDefault="00CF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świadomość różnorodności i historycznej zmienności stanowisk filozoficznych dotyczących natury człowieka i zachowania oraz gotowość do weryfikowania własnych przekonań.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8A8EA3" w14:textId="6935DC52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</w:t>
            </w:r>
            <w:r w:rsidR="003C6D75">
              <w:rPr>
                <w:rFonts w:ascii="Times New Roman" w:eastAsia="Times New Roman" w:hAnsi="Times New Roman" w:cs="Times New Roman"/>
              </w:rPr>
              <w:t>08</w:t>
            </w:r>
          </w:p>
        </w:tc>
      </w:tr>
      <w:tr w:rsidR="00DF1733" w14:paraId="63B47989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721B89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DF1733" w14:paraId="754A4898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DA76B9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AD74C22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0908AB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427856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B36576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EC2E14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DF1733" w14:paraId="596E4E09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CFF89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7F8433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K_W01</w:t>
            </w:r>
          </w:p>
          <w:p w14:paraId="2CFF9B34" w14:textId="344AA15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</w:t>
            </w:r>
            <w:r w:rsidR="003C6D75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F1EB56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DE2D1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74A5F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0EFF8C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4C058236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B4A79A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8EB435" w14:textId="62F9B21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</w:t>
            </w:r>
            <w:r w:rsidR="002548F1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A4396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C2B8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1-4, 13-16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5F53A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18230D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5B0BD9A0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613F5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C6B6E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K_W03</w:t>
            </w:r>
          </w:p>
          <w:p w14:paraId="1563A9C4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74829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C3CD0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1-2, 4, 13-16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9C5E88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E33F9A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2CB0E131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A8B16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E4_W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ABAECB" w14:textId="1708975F" w:rsidR="00DF1733" w:rsidRDefault="00CF7850">
            <w:pPr>
              <w:pStyle w:val="Nagwek2"/>
              <w:spacing w:after="0" w:line="240" w:lineRule="auto"/>
              <w:ind w:hanging="36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</w:t>
            </w:r>
            <w:r w:rsidR="002548F1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5D4F8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C0C736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2-3, 5-12, 16-17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A71BF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E79E4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2F9BFB41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BBD9E3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A29F12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K_U01</w:t>
            </w:r>
          </w:p>
          <w:p w14:paraId="6EBD6BEC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E23CA2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3D1574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1-2, 4, 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6CCDB2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1BF53D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DF1733" w14:paraId="3C5D5240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02BB24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D21558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898C7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DE6D3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1-4, 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11F6A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31678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0D6A4721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29418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C3FEE9" w14:textId="0D1EB603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</w:t>
            </w:r>
            <w:r w:rsidR="002548F1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16F7D4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2E48EC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1, 4, 17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B05575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CB4D8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DF1733" w14:paraId="53B42032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3785F8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1B51CA" w14:textId="5048665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</w:t>
            </w:r>
            <w:r w:rsidR="002548F1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1D6BED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C1-C3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C2501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3-4, 17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8873C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CD7952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DF1733" w14:paraId="0B51873F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043FD1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DF1733" w14:paraId="53410F91" w14:textId="77777777">
        <w:trPr>
          <w:trHeight w:val="480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1BE233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65A296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BF3639B" w14:textId="77777777" w:rsidR="00DF1733" w:rsidRDefault="00CF7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F1733" w14:paraId="219B12F7" w14:textId="77777777">
        <w:trPr>
          <w:trHeight w:val="480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1FF1ADA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2B5C343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2109F5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2BC6C7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DF1733" w14:paraId="1E102890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335B8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4A528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4D101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6FE0CE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DF1733" w14:paraId="19F08B18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F0DB1A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125686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8E4A0B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BB491C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070BC32D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14DBF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47F1DF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16A8A3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5070FE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0684FDF4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4B556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18829A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56FF2C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8821C9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0DAD5B93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0F3CA1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95AECC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5FBECC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27672A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06D582BD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9EDB6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543026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C7F5F4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334471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4ED866C9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053E6A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38335D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173BDE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609FA0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64C50ED4" w14:textId="77777777">
        <w:trPr>
          <w:trHeight w:val="567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EC068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C4781D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40B40C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47FD1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DF1733" w14:paraId="6FF7AD04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D6D30D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6B8180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53D50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1F6879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DF1733" w14:paraId="675735B6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B5621A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81256F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85F0B0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6F4FDA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3100371C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B466F4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DE5E53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D5A57E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3A98AF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565B9E46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4EF639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48ECBC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AE9DDF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EB48F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DF1733" w14:paraId="610BF87E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D3BC26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E5B3AE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2AE4B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9422E8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DF1733" w14:paraId="6DB8BC3C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48EE4A" w14:textId="77777777" w:rsidR="00DF1733" w:rsidRDefault="00DF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EA51AB" w14:textId="77777777" w:rsidR="00DF1733" w:rsidRDefault="00CF78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4BDD39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728DDA" w14:textId="77777777" w:rsidR="00DF1733" w:rsidRDefault="00DF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F1733" w14:paraId="63B5B61E" w14:textId="77777777">
        <w:trPr>
          <w:trHeight w:val="567"/>
          <w:jc w:val="center"/>
        </w:trPr>
        <w:tc>
          <w:tcPr>
            <w:tcW w:w="71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31A340B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4B79B6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8934A7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DF1733" w14:paraId="60297B35" w14:textId="77777777">
        <w:trPr>
          <w:trHeight w:val="567"/>
          <w:jc w:val="center"/>
        </w:trPr>
        <w:tc>
          <w:tcPr>
            <w:tcW w:w="71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D1899BA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CE65F0" w14:textId="77777777" w:rsidR="00DF1733" w:rsidRDefault="00CF7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326883FC" w14:textId="77777777" w:rsidR="00DF1733" w:rsidRDefault="00DF17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6E9C2B51" w14:textId="77777777" w:rsidR="00DF1733" w:rsidRDefault="00DF17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7836BB48" w14:textId="77777777" w:rsidR="00DF1733" w:rsidRDefault="00DF1733">
      <w:pPr>
        <w:rPr>
          <w:rFonts w:ascii="Times New Roman" w:eastAsia="Times New Roman" w:hAnsi="Times New Roman" w:cs="Times New Roman"/>
        </w:rPr>
      </w:pPr>
    </w:p>
    <w:sectPr w:rsidR="00DF1733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E691" w14:textId="77777777" w:rsidR="001B4095" w:rsidRDefault="001B4095">
      <w:pPr>
        <w:spacing w:after="0" w:line="240" w:lineRule="auto"/>
      </w:pPr>
      <w:r>
        <w:separator/>
      </w:r>
    </w:p>
  </w:endnote>
  <w:endnote w:type="continuationSeparator" w:id="0">
    <w:p w14:paraId="569F774D" w14:textId="77777777" w:rsidR="001B4095" w:rsidRDefault="001B4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BAFA1B3-B9F9-4DC5-831E-554C4A15ABD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D79D30D-5AD5-4B2A-9A34-83F588631522}"/>
    <w:embedBold r:id="rId3" w:fontKey="{B24D5252-47A3-40A5-BCD0-8D26041361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455005B-1C44-49DB-8AA4-346C73E6A346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5" w:fontKey="{6B1173D5-C59F-43D7-91BF-1CE886145696}"/>
    <w:embedItalic r:id="rId6" w:fontKey="{F75F4DAD-F6E5-406E-8355-CF7BB0DBB80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0D57A5-77AF-4FC5-93B3-73AC2EECC6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514E" w14:textId="77777777" w:rsidR="00DF1733" w:rsidRDefault="00CF78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968D0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1EC1A8B" w14:textId="77777777" w:rsidR="00DF1733" w:rsidRDefault="00DF17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3ED8E" w14:textId="77777777" w:rsidR="001B4095" w:rsidRDefault="001B4095">
      <w:pPr>
        <w:spacing w:after="0" w:line="240" w:lineRule="auto"/>
      </w:pPr>
      <w:r>
        <w:separator/>
      </w:r>
    </w:p>
  </w:footnote>
  <w:footnote w:type="continuationSeparator" w:id="0">
    <w:p w14:paraId="1BDF3B66" w14:textId="77777777" w:rsidR="001B4095" w:rsidRDefault="001B4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593A"/>
    <w:multiLevelType w:val="multilevel"/>
    <w:tmpl w:val="91722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007817"/>
    <w:multiLevelType w:val="multilevel"/>
    <w:tmpl w:val="9B48A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1E66335"/>
    <w:multiLevelType w:val="multilevel"/>
    <w:tmpl w:val="85C6A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E28E1"/>
    <w:multiLevelType w:val="multilevel"/>
    <w:tmpl w:val="FAF672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5480634">
    <w:abstractNumId w:val="0"/>
  </w:num>
  <w:num w:numId="2" w16cid:durableId="446123224">
    <w:abstractNumId w:val="3"/>
  </w:num>
  <w:num w:numId="3" w16cid:durableId="132799">
    <w:abstractNumId w:val="2"/>
  </w:num>
  <w:num w:numId="4" w16cid:durableId="2064790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33"/>
    <w:rsid w:val="001968D0"/>
    <w:rsid w:val="001B4095"/>
    <w:rsid w:val="002548F1"/>
    <w:rsid w:val="003C6D75"/>
    <w:rsid w:val="00432FBF"/>
    <w:rsid w:val="00AA5836"/>
    <w:rsid w:val="00CF7850"/>
    <w:rsid w:val="00DF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9BE1"/>
  <w15:docId w15:val="{E59A6874-BD9D-49B6-812C-68FA134B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gwek1Znak">
    <w:name w:val="Nagłówek 1 Znak"/>
    <w:basedOn w:val="Domylnaczcionkaakapitu"/>
    <w:rsid w:val="00B923B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rsid w:val="00B923B9"/>
    <w:rPr>
      <w:rFonts w:ascii="Arial" w:eastAsia="Times New Roman" w:hAnsi="Arial" w:cs="Times New Roman"/>
      <w:b/>
      <w:bCs/>
    </w:rPr>
  </w:style>
  <w:style w:type="character" w:customStyle="1" w:styleId="Nagwek3Znak">
    <w:name w:val="Nagłówek 3 Znak"/>
    <w:basedOn w:val="Domylnaczcionkaakapitu"/>
    <w:rsid w:val="00B923B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rsid w:val="00B923B9"/>
    <w:rPr>
      <w:rFonts w:ascii="Times New Roman" w:eastAsia="Times New Roman" w:hAnsi="Times New Roman" w:cs="Times New Roman"/>
      <w:b/>
      <w:bCs/>
    </w:rPr>
  </w:style>
  <w:style w:type="paragraph" w:styleId="Stopka">
    <w:name w:val="footer"/>
    <w:link w:val="StopkaZnak"/>
    <w:uiPriority w:val="99"/>
    <w:rsid w:val="00B923B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B923B9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link w:val="TekstpodstawowyZnak"/>
    <w:rsid w:val="00B923B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923B9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link w:val="TekstpodstawowywcityZnak"/>
    <w:uiPriority w:val="99"/>
    <w:rsid w:val="00B923B9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923B9"/>
    <w:rPr>
      <w:rFonts w:ascii="Arial" w:eastAsia="Times New Roman" w:hAnsi="Arial" w:cs="Times New Roman"/>
    </w:rPr>
  </w:style>
  <w:style w:type="paragraph" w:styleId="Tekstpodstawowy3">
    <w:name w:val="Body Text 3"/>
    <w:link w:val="Tekstpodstawowy3Znak"/>
    <w:uiPriority w:val="99"/>
    <w:rsid w:val="00B923B9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923B9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nyWeb">
    <w:name w:val="Normal (Web)"/>
    <w:uiPriority w:val="99"/>
    <w:rsid w:val="00B92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3">
    <w:name w:val="xl33"/>
    <w:rsid w:val="00B923B9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styleId="Akapitzlist">
    <w:name w:val="List Paragraph"/>
    <w:uiPriority w:val="34"/>
    <w:qFormat/>
    <w:rsid w:val="00B923B9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Bodytext2">
    <w:name w:val="Body text (2)_"/>
    <w:link w:val="Bodytext20"/>
    <w:rsid w:val="00B923B9"/>
    <w:rPr>
      <w:rFonts w:cs="Calibri"/>
      <w:b/>
      <w:bCs/>
      <w:sz w:val="16"/>
      <w:szCs w:val="16"/>
      <w:shd w:val="clear" w:color="auto" w:fill="FFFFFF"/>
    </w:rPr>
  </w:style>
  <w:style w:type="paragraph" w:customStyle="1" w:styleId="Bodytext20">
    <w:name w:val="Body text (2)"/>
    <w:link w:val="Bodytext2"/>
    <w:rsid w:val="00B923B9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/>
      <w:b/>
      <w:bCs/>
      <w:sz w:val="16"/>
      <w:szCs w:val="16"/>
    </w:rPr>
  </w:style>
  <w:style w:type="paragraph" w:customStyle="1" w:styleId="Bezodstpw1">
    <w:name w:val="Bez odstępów1"/>
    <w:rsid w:val="00B923B9"/>
    <w:pPr>
      <w:suppressAutoHyphens/>
      <w:spacing w:after="0" w:line="240" w:lineRule="auto"/>
    </w:pPr>
    <w:rPr>
      <w:rFonts w:cs="Times New Roman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XywFcbwa7aOU8bbJuOA47eHlg==">CgMxLjAyDmguZnZtbHVkZXNxNTJxMg5oLnk1dGF2M2pvZHRrZTgAciExaVllTHpsY1lfN0xJUnZQakxmVG14RkFjbVMxb0VlMms=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1122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Barczyńska</dc:creator>
  <cp:lastModifiedBy>Jakub Seiffert</cp:lastModifiedBy>
  <cp:revision>4</cp:revision>
  <dcterms:created xsi:type="dcterms:W3CDTF">2026-03-11T18:20:00Z</dcterms:created>
  <dcterms:modified xsi:type="dcterms:W3CDTF">2026-03-11T19:56:00Z</dcterms:modified>
</cp:coreProperties>
</file>