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2D04D" w14:textId="77777777" w:rsidR="00D74F1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56C87B0F" wp14:editId="6425DAB8">
            <wp:simplePos x="0" y="0"/>
            <wp:positionH relativeFrom="column">
              <wp:posOffset>-361949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074"/>
        <w:gridCol w:w="351"/>
        <w:gridCol w:w="490"/>
        <w:gridCol w:w="997"/>
        <w:gridCol w:w="33"/>
        <w:gridCol w:w="1452"/>
      </w:tblGrid>
      <w:tr w:rsidR="00D74F1F" w14:paraId="3A9602E3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7BDE20E" w14:textId="77777777" w:rsidR="00D74F1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D74F1F" w14:paraId="2A273E9C" w14:textId="77777777">
        <w:trPr>
          <w:trHeight w:val="567"/>
          <w:jc w:val="center"/>
        </w:trPr>
        <w:tc>
          <w:tcPr>
            <w:tcW w:w="10198" w:type="dxa"/>
            <w:gridSpan w:val="10"/>
            <w:shd w:val="clear" w:color="auto" w:fill="FFFFFF"/>
            <w:vAlign w:val="center"/>
          </w:tcPr>
          <w:p w14:paraId="27F9831A" w14:textId="77777777" w:rsidR="00D74F1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</w:t>
            </w:r>
          </w:p>
        </w:tc>
      </w:tr>
      <w:tr w:rsidR="00D74F1F" w14:paraId="5C52F2F3" w14:textId="77777777">
        <w:trPr>
          <w:trHeight w:val="567"/>
          <w:jc w:val="center"/>
        </w:trPr>
        <w:tc>
          <w:tcPr>
            <w:tcW w:w="3330" w:type="dxa"/>
            <w:gridSpan w:val="2"/>
            <w:vAlign w:val="center"/>
          </w:tcPr>
          <w:p w14:paraId="3E99A90F" w14:textId="77777777" w:rsidR="00D74F1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8"/>
            <w:vAlign w:val="center"/>
          </w:tcPr>
          <w:p w14:paraId="27F77BBE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Warsztaty</w:t>
            </w:r>
          </w:p>
        </w:tc>
      </w:tr>
      <w:tr w:rsidR="00D74F1F" w14:paraId="1787DC27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753F46B1" w14:textId="77777777" w:rsidR="00D74F1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D74F1F" w14:paraId="20F71470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521594B7" w14:textId="77777777" w:rsidR="00D74F1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D74F1F" w14:paraId="11E4CA94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vAlign w:val="center"/>
          </w:tcPr>
          <w:p w14:paraId="41D7CC01" w14:textId="77777777" w:rsidR="00D74F1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0EBA0880" w14:textId="77777777" w:rsidR="00D74F1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D74F1F" w14:paraId="514E034A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113C4C76" w14:textId="77777777" w:rsidR="00D74F1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Trening adaptacyjny</w:t>
            </w:r>
          </w:p>
        </w:tc>
      </w:tr>
      <w:tr w:rsidR="00D74F1F" w14:paraId="4ECDE2E5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38E0FF1B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2AA784C1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C1</w:t>
            </w:r>
            <w:r>
              <w:rPr>
                <w:rFonts w:ascii="Times New Roman" w:eastAsia="Times New Roman" w:hAnsi="Times New Roman" w:cs="Times New Roman"/>
              </w:rPr>
              <w:t xml:space="preserve"> Doskonalenie zaawansowanych kompetencji komunikacyjnych i autoprezentacyjnych: samodzielne przygotowanie wypowiedzi, moderowanie dyskusji oraz świadomy dobór argumentacji, stylu i strategii komunikacyjnych adekwatnie do celu, odbiorców i kontekstu, z wykorzystaniem analizy sytuacji i informacji zwrotnej.</w:t>
            </w:r>
          </w:p>
          <w:p w14:paraId="779CA0B3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C2</w:t>
            </w:r>
            <w:r>
              <w:rPr>
                <w:rFonts w:ascii="Times New Roman" w:eastAsia="Times New Roman" w:hAnsi="Times New Roman" w:cs="Times New Roman"/>
              </w:rPr>
              <w:t xml:space="preserve"> Rozwijanie kompetencji współpracy i profesjonalnego funkcjonowania w grupie: analiza ról zespołowych i dynamiki procesu grupowego, budowanie zaufania, odpowiedzialność za realizację zadań oraz stosowanie narzędzi komunikacji wspierających porozumienie, w tym w sytuacjach trudnych (konflikt, napięcie, granice).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C3</w:t>
            </w:r>
            <w:r>
              <w:rPr>
                <w:rFonts w:ascii="Times New Roman" w:eastAsia="Times New Roman" w:hAnsi="Times New Roman" w:cs="Times New Roman"/>
              </w:rPr>
              <w:t xml:space="preserve"> Kształtowanie postawy refleksyjnej i etycznej w relacjach interpersonalnych: krytyczna autorefleksja nad wpływem własnego zachowania na innych, respektowanie kultury dialogu i standardów współpracy oraz gotowość do wspierania innych i współdziałania na rzecz grupy/otoczenia.</w:t>
            </w:r>
          </w:p>
        </w:tc>
      </w:tr>
      <w:tr w:rsidR="00D74F1F" w14:paraId="7A2CC8E7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4B864C5F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D74F1F" w14:paraId="3E8988B4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23243171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</w:tc>
      </w:tr>
      <w:tr w:rsidR="00D74F1F" w14:paraId="55B8894D" w14:textId="77777777">
        <w:trPr>
          <w:trHeight w:val="4761"/>
          <w:jc w:val="center"/>
        </w:trPr>
        <w:tc>
          <w:tcPr>
            <w:tcW w:w="10198" w:type="dxa"/>
            <w:gridSpan w:val="10"/>
            <w:vAlign w:val="center"/>
          </w:tcPr>
          <w:p w14:paraId="3D4E3443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7C37C421" w14:textId="77777777" w:rsidR="00D74F1F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 Zajęcia interaktywne w grupach</w:t>
            </w:r>
            <w:r>
              <w:rPr>
                <w:rFonts w:ascii="Times New Roman" w:eastAsia="Times New Roman" w:hAnsi="Times New Roman" w:cs="Times New Roman"/>
              </w:rPr>
              <w:t xml:space="preserve"> (praca na kontrakcie grupowym, karty pracy, arkusze autoobserwacji i autorefleksji, moderowane mini-case’y, podsumowania na flipcharcie/tablicy, krótkie materiały wideo jako punkt wyjścia do ćwiczeń) (Pd1, Pd2, Pd3)</w:t>
            </w:r>
          </w:p>
          <w:p w14:paraId="026C255F" w14:textId="77777777" w:rsidR="00D74F1F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Scenki i odgrywanie ról </w:t>
            </w:r>
            <w:r>
              <w:rPr>
                <w:rFonts w:ascii="Times New Roman" w:eastAsia="Times New Roman" w:hAnsi="Times New Roman" w:cs="Times New Roman"/>
              </w:rPr>
              <w:t>(role-playing) (scenariusze sytuacji interpersonalnych, karty ról, instrukcje przebiegu, rubryki obserwacji, lista kryteriów jakości komunikacji; analiza zachowań i korekta na podstawie informacji zwrotnej) (Pd4, Pd5)</w:t>
            </w:r>
          </w:p>
          <w:p w14:paraId="09E258E6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 Rozmowy moderowane</w:t>
            </w:r>
            <w:r>
              <w:rPr>
                <w:rFonts w:ascii="Times New Roman" w:eastAsia="Times New Roman" w:hAnsi="Times New Roman" w:cs="Times New Roman"/>
              </w:rPr>
              <w:t xml:space="preserve"> (rundy refleksji, pytania pogłębiające, modele informacji zwrotnej, przykłady komunikatów, zasady dyskusji wynikające z kontraktu, arkusze podsumowań i wniosków transferowych) (Pd2, Pd6)</w:t>
            </w:r>
          </w:p>
          <w:p w14:paraId="4B79298D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023BE753" w14:textId="77777777" w:rsidR="00D74F1F" w:rsidRDefault="00000000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4F260EED" w14:textId="77777777" w:rsidR="00D74F1F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Karty pracy </w:t>
            </w:r>
            <w:r>
              <w:rPr>
                <w:rFonts w:ascii="Times New Roman" w:eastAsia="Times New Roman" w:hAnsi="Times New Roman" w:cs="Times New Roman"/>
              </w:rPr>
              <w:t>(zadania treningowe: dobór strategii komunikacyjnych, analiza barier porozumienia, ćwiczenia autoprezentacji)</w:t>
            </w:r>
          </w:p>
          <w:p w14:paraId="021787A6" w14:textId="77777777" w:rsidR="00D74F1F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Pd2 Arkusze autoobserwacji, autorefleksji i podsumowań</w:t>
            </w:r>
            <w:r>
              <w:rPr>
                <w:rFonts w:ascii="Times New Roman" w:eastAsia="Times New Roman" w:hAnsi="Times New Roman" w:cs="Times New Roman"/>
              </w:rPr>
              <w:t xml:space="preserve"> (monitorowanie zmiany: cele, wnioski po ćwiczeniach, plan transferu do sytuacji zawodowych)</w:t>
            </w:r>
          </w:p>
          <w:p w14:paraId="5BBBA4D9" w14:textId="77777777" w:rsidR="00D74F1F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Flipchart/tablica, prezentacje multimedialne, krótkie materiały wideo/mini-case’y </w:t>
            </w:r>
            <w:r>
              <w:rPr>
                <w:rFonts w:ascii="Times New Roman" w:eastAsia="Times New Roman" w:hAnsi="Times New Roman" w:cs="Times New Roman"/>
              </w:rPr>
              <w:t>(wizualizacja wniosków grupy, mapowanie zachowań, analiza krótkich sytuacji komunikacyjnych)</w:t>
            </w:r>
          </w:p>
          <w:p w14:paraId="48B005DB" w14:textId="77777777" w:rsidR="00D74F1F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Pd4 Scenariusze sytuacji interpersonalnych i karty ról </w:t>
            </w:r>
            <w:r>
              <w:rPr>
                <w:rFonts w:ascii="Times New Roman" w:eastAsia="Times New Roman" w:hAnsi="Times New Roman" w:cs="Times New Roman"/>
              </w:rPr>
              <w:t>(np. konflikt, granice, rozmowa trudna, moderowanie dyskusji, negocjowanie stanowisk)</w:t>
            </w:r>
          </w:p>
          <w:p w14:paraId="23DD780E" w14:textId="77777777" w:rsidR="00D74F1F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Pd5 Rubryki obserwacji i lista kryteriów jakości komunikacji </w:t>
            </w:r>
            <w:r>
              <w:rPr>
                <w:rFonts w:ascii="Times New Roman" w:eastAsia="Times New Roman" w:hAnsi="Times New Roman" w:cs="Times New Roman"/>
              </w:rPr>
              <w:t>(checklisty: aktywne słuchanie, empatia, jasność komunikatu, asertywność, deeskalacja, spójność werbalno-niewerbalna)</w:t>
            </w:r>
          </w:p>
          <w:p w14:paraId="02536E3B" w14:textId="77777777" w:rsidR="00D74F1F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Pd6 Modele informacji zwrotnej, przykłady komunikatów, kontrakt zasad dyskusji</w:t>
            </w:r>
            <w:r>
              <w:rPr>
                <w:rFonts w:ascii="Times New Roman" w:eastAsia="Times New Roman" w:hAnsi="Times New Roman" w:cs="Times New Roman"/>
              </w:rPr>
              <w:t xml:space="preserve"> (np. struktura feedbacku, komunikaty „JA”, zasady bezpieczeństwa i kultury dialogu)</w:t>
            </w:r>
          </w:p>
        </w:tc>
      </w:tr>
      <w:tr w:rsidR="00D74F1F" w14:paraId="0992433D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23782DD6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Style w:val="a0"/>
              <w:tblW w:w="10991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74"/>
              <w:gridCol w:w="8017"/>
            </w:tblGrid>
            <w:tr w:rsidR="00D74F1F" w14:paraId="664281AE" w14:textId="77777777">
              <w:trPr>
                <w:trHeight w:val="693"/>
                <w:jc w:val="center"/>
              </w:trPr>
              <w:tc>
                <w:tcPr>
                  <w:tcW w:w="2974" w:type="dxa"/>
                  <w:tcBorders>
                    <w:bottom w:val="single" w:sz="4" w:space="0" w:color="000000"/>
                  </w:tcBorders>
                  <w:vAlign w:val="center"/>
                </w:tcPr>
                <w:p w14:paraId="54833392" w14:textId="77777777" w:rsidR="00D74F1F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Forma zajęć</w:t>
                  </w:r>
                </w:p>
              </w:tc>
              <w:tc>
                <w:tcPr>
                  <w:tcW w:w="8017" w:type="dxa"/>
                  <w:tcBorders>
                    <w:bottom w:val="single" w:sz="4" w:space="0" w:color="000000"/>
                  </w:tcBorders>
                  <w:vAlign w:val="center"/>
                </w:tcPr>
                <w:p w14:paraId="485E5728" w14:textId="77777777" w:rsidR="00D74F1F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Warunki zaliczenia zajęć</w:t>
                  </w:r>
                </w:p>
              </w:tc>
            </w:tr>
            <w:tr w:rsidR="00D74F1F" w14:paraId="26E6782C" w14:textId="77777777">
              <w:trPr>
                <w:trHeight w:val="190"/>
                <w:jc w:val="center"/>
              </w:trPr>
              <w:tc>
                <w:tcPr>
                  <w:tcW w:w="2974" w:type="dxa"/>
                  <w:tcBorders>
                    <w:bottom w:val="single" w:sz="4" w:space="0" w:color="000000"/>
                  </w:tcBorders>
                  <w:vAlign w:val="center"/>
                </w:tcPr>
                <w:p w14:paraId="2075DC7C" w14:textId="77777777" w:rsidR="00D74F1F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Warsztaty</w:t>
                  </w:r>
                </w:p>
              </w:tc>
              <w:tc>
                <w:tcPr>
                  <w:tcW w:w="8017" w:type="dxa"/>
                  <w:tcBorders>
                    <w:bottom w:val="single" w:sz="4" w:space="0" w:color="000000"/>
                  </w:tcBorders>
                  <w:vAlign w:val="center"/>
                </w:tcPr>
                <w:p w14:paraId="64984694" w14:textId="77777777" w:rsidR="00D74F1F" w:rsidRDefault="00000000">
                  <w:pPr>
                    <w:numPr>
                      <w:ilvl w:val="0"/>
                      <w:numId w:val="4"/>
                    </w:num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Minimum 80% obecności na zajęciach. </w:t>
                  </w:r>
                </w:p>
                <w:p w14:paraId="40D88B2F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Każdorazowo Student ma możliwość odrobić zajęcia, w których nie uczestniczył, przez indywidualne konsultacje z prowadzącym, po wcześniejszym ustaleniu tego faktu za pomocą poczty e-mail lub w terminach zajęć. </w:t>
                  </w:r>
                </w:p>
                <w:p w14:paraId="4E6067BC" w14:textId="77777777" w:rsidR="00D74F1F" w:rsidRDefault="00000000">
                  <w:pPr>
                    <w:numPr>
                      <w:ilvl w:val="0"/>
                      <w:numId w:val="5"/>
                    </w:num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Praca bieżąca, aktywny udział w zajęciach (realizacja oraz/lub przedstawienie ćwiczeń zadanych przez prowadzącego zgodnie z tematyką zajęć):</w:t>
                  </w:r>
                </w:p>
                <w:p w14:paraId="63787315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- praca w grupie,</w:t>
                  </w:r>
                </w:p>
                <w:p w14:paraId="1EE3DA07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- udział w zadaniach grupowych,</w:t>
                  </w:r>
                </w:p>
                <w:p w14:paraId="262FF983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- praca samodzielna,</w:t>
                  </w:r>
                </w:p>
                <w:p w14:paraId="1983EE8F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- przygotowanie oraz przedstawienie w grupach scen,</w:t>
                  </w:r>
                </w:p>
                <w:p w14:paraId="7563A0DD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- przygotowanie oraz przedstawienie prowadzącemu wiadomości e-mail,</w:t>
                  </w:r>
                </w:p>
                <w:p w14:paraId="0A1F31FA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- realizacja ćwiczeń zadanych przez prowadzącego.</w:t>
                  </w:r>
                </w:p>
                <w:p w14:paraId="69CD08AD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WSKAŹNIK ZALICZENIA:</w:t>
                  </w:r>
                </w:p>
                <w:p w14:paraId="79D2D246" w14:textId="77777777" w:rsidR="00D74F1F" w:rsidRDefault="00000000">
                  <w:pPr>
                    <w:numPr>
                      <w:ilvl w:val="0"/>
                      <w:numId w:val="5"/>
                    </w:num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Ćwiczenia zostają zaliczone, jeżeli Student: </w:t>
                  </w:r>
                </w:p>
                <w:p w14:paraId="27D9CA2E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-uzyskał co najmniej 80% obecności lub uzyskał mniej niż 80% obecności i wziął udział w konsultacjach, które pomogły nadrobić zaległości na poziomie 80% materiału realizowanego na zajęciach,</w:t>
                  </w:r>
                </w:p>
                <w:p w14:paraId="692E1F33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-uczestniczył w pracy bieżącej lub nadrobił w ramach konsultacji pracę bieżącą.</w:t>
                  </w:r>
                </w:p>
                <w:p w14:paraId="296FD539" w14:textId="77777777" w:rsidR="00D74F1F" w:rsidRDefault="00000000">
                  <w:pPr>
                    <w:numPr>
                      <w:ilvl w:val="0"/>
                      <w:numId w:val="5"/>
                    </w:num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Ćwiczenia nie zostają zaliczone, jeżeli Student:</w:t>
                  </w:r>
                </w:p>
                <w:p w14:paraId="4253C28D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lastRenderedPageBreak/>
                    <w:t>- nie uzyskał co najmniej 80% obecności i nie wziął udziału w konsultacjach, które pomogły nadrobić zaległości na poziomie 80% materiału realizowanego na zajęciach,</w:t>
                  </w:r>
                </w:p>
                <w:p w14:paraId="225B62B5" w14:textId="77777777" w:rsidR="00D74F1F" w:rsidRDefault="00000000">
                  <w:pPr>
                    <w:ind w:left="0" w:hanging="2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- nie zrealizował zadań z prac bieżących oraz nie nadrobił w ramach konsultacji pracy bieżącej.</w:t>
                  </w:r>
                </w:p>
              </w:tc>
            </w:tr>
          </w:tbl>
          <w:p w14:paraId="729CEF39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74F1F" w14:paraId="0A98FADC" w14:textId="77777777">
        <w:trPr>
          <w:trHeight w:val="273"/>
          <w:jc w:val="center"/>
        </w:trPr>
        <w:tc>
          <w:tcPr>
            <w:tcW w:w="10198" w:type="dxa"/>
            <w:gridSpan w:val="10"/>
            <w:shd w:val="clear" w:color="auto" w:fill="DBE5F1"/>
            <w:vAlign w:val="center"/>
          </w:tcPr>
          <w:p w14:paraId="4B2A336E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2D03EC9C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74F1F" w14:paraId="3DD36516" w14:textId="77777777">
        <w:trPr>
          <w:trHeight w:val="1823"/>
          <w:jc w:val="center"/>
        </w:trPr>
        <w:tc>
          <w:tcPr>
            <w:tcW w:w="10198" w:type="dxa"/>
            <w:gridSpan w:val="10"/>
          </w:tcPr>
          <w:p w14:paraId="29DC89C3" w14:textId="77777777" w:rsidR="00D74F1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Diagnoza stylu komunikacji i barier porozumienia</w:t>
            </w:r>
            <w:r>
              <w:rPr>
                <w:rFonts w:ascii="Times New Roman" w:eastAsia="Times New Roman" w:hAnsi="Times New Roman" w:cs="Times New Roman"/>
              </w:rPr>
              <w:t xml:space="preserve"> (analiza sytuacji, dobór strategii komunikacyjnych do kontekstu i odbiorcy).</w:t>
            </w:r>
          </w:p>
          <w:p w14:paraId="0C9DCE64" w14:textId="77777777" w:rsidR="00D74F1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Empatia i aktywne słuchanie</w:t>
            </w:r>
            <w:r>
              <w:rPr>
                <w:rFonts w:ascii="Times New Roman" w:eastAsia="Times New Roman" w:hAnsi="Times New Roman" w:cs="Times New Roman"/>
              </w:rPr>
              <w:t xml:space="preserve"> – trening rozumienia perspektywy, parafrazy, pytania pogłębiające, praca na doświadczeniu uczestników.</w:t>
            </w:r>
          </w:p>
          <w:p w14:paraId="1D038FEC" w14:textId="77777777" w:rsidR="00D74F1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Autoprezentacja i wizerunek interpersonalny</w:t>
            </w:r>
            <w:r>
              <w:rPr>
                <w:rFonts w:ascii="Times New Roman" w:eastAsia="Times New Roman" w:hAnsi="Times New Roman" w:cs="Times New Roman"/>
              </w:rPr>
              <w:t xml:space="preserve"> – analiza pierwszego wrażenia, spójność komunikatów werbalnych i niewerbalnych, etyczne aspekty wpływu społecznego.</w:t>
            </w:r>
          </w:p>
          <w:p w14:paraId="2CB5100D" w14:textId="77777777" w:rsidR="00D74F1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Informacja zwrotna i autorefleksja</w:t>
            </w:r>
            <w:r>
              <w:rPr>
                <w:rFonts w:ascii="Times New Roman" w:eastAsia="Times New Roman" w:hAnsi="Times New Roman" w:cs="Times New Roman"/>
              </w:rPr>
              <w:t xml:space="preserve"> – udzielanie i przyjmowanie feedbacku (modele, kryteria jakości), wykorzystanie informacji zwrotnej do modyfikacji zachowań.</w:t>
            </w:r>
          </w:p>
          <w:p w14:paraId="393588DB" w14:textId="77777777" w:rsidR="00D74F1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Współpraca w grupie i role zespołowe </w:t>
            </w:r>
            <w:r>
              <w:rPr>
                <w:rFonts w:ascii="Times New Roman" w:eastAsia="Times New Roman" w:hAnsi="Times New Roman" w:cs="Times New Roman"/>
              </w:rPr>
              <w:t>– dynamika procesu grupowego, normy, kontrakt, budowanie zaufania, odpowiedzialność za proces.</w:t>
            </w:r>
          </w:p>
          <w:p w14:paraId="55D013FF" w14:textId="77777777" w:rsidR="00D74F1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Trudne sytuacje interpersonalne</w:t>
            </w:r>
            <w:r>
              <w:rPr>
                <w:rFonts w:ascii="Times New Roman" w:eastAsia="Times New Roman" w:hAnsi="Times New Roman" w:cs="Times New Roman"/>
              </w:rPr>
              <w:t xml:space="preserve"> – rozpoznawanie konfliktów, deeskalacja, komunikacja w napięciu, granice i asertywność.</w:t>
            </w:r>
          </w:p>
          <w:p w14:paraId="2A9C00B2" w14:textId="77777777" w:rsidR="00D74F1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Transfer na funkcjonowanie zawodowe</w:t>
            </w:r>
            <w:r>
              <w:rPr>
                <w:rFonts w:ascii="Times New Roman" w:eastAsia="Times New Roman" w:hAnsi="Times New Roman" w:cs="Times New Roman"/>
              </w:rPr>
              <w:t xml:space="preserve"> – plan rozwoju kompetencji społecznych i komunikacyjnych w kontekście celów zawodowych (autoregulacja, planowanie działań).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D74F1F" w14:paraId="75C2E9C2" w14:textId="77777777">
        <w:trPr>
          <w:trHeight w:val="704"/>
          <w:jc w:val="center"/>
        </w:trPr>
        <w:tc>
          <w:tcPr>
            <w:tcW w:w="10198" w:type="dxa"/>
            <w:gridSpan w:val="10"/>
            <w:vAlign w:val="center"/>
          </w:tcPr>
          <w:p w14:paraId="71D9CE36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podstawowa:</w:t>
            </w:r>
          </w:p>
          <w:p w14:paraId="4BC8E9EC" w14:textId="77777777" w:rsidR="00D74F1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Jedliński K.,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Trening interpersonalny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Warszawa 2011.</w:t>
            </w:r>
          </w:p>
        </w:tc>
      </w:tr>
      <w:tr w:rsidR="00D74F1F" w14:paraId="3A2A6C6F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518EAE50" w14:textId="77777777" w:rsidR="00D74F1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</w:t>
            </w:r>
          </w:p>
          <w:p w14:paraId="69C21032" w14:textId="77777777" w:rsidR="00D74F1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Smółka P.,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Kompetencje społeczne: metody pomiaru i doskonalenia umiejętności interpersonalnych</w:t>
            </w:r>
            <w:r>
              <w:rPr>
                <w:rFonts w:ascii="Times New Roman" w:eastAsia="Times New Roman" w:hAnsi="Times New Roman" w:cs="Times New Roman"/>
              </w:rPr>
              <w:t>, Wolters Kluwer Polska Sp. z o.o., Kraków 2008.</w:t>
            </w:r>
          </w:p>
          <w:p w14:paraId="54F445E6" w14:textId="77777777" w:rsidR="00D74F1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Rosenberg M.,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Porozumienie bez przemocy</w:t>
            </w:r>
            <w:r>
              <w:rPr>
                <w:rFonts w:ascii="Times New Roman" w:eastAsia="Times New Roman" w:hAnsi="Times New Roman" w:cs="Times New Roman"/>
              </w:rPr>
              <w:t>, Warszawa 2003.</w:t>
            </w:r>
          </w:p>
        </w:tc>
      </w:tr>
      <w:tr w:rsidR="00D74F1F" w14:paraId="19D6019A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088EBD0A" w14:textId="77777777" w:rsidR="00D74F1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66F6CC85" w14:textId="77777777" w:rsidR="00D74F1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 obecność</w:t>
            </w:r>
          </w:p>
          <w:p w14:paraId="25110ABF" w14:textId="77777777" w:rsidR="00D74F1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 ocena aktywności na zajęciach</w:t>
            </w:r>
          </w:p>
        </w:tc>
      </w:tr>
      <w:tr w:rsidR="00D74F1F" w14:paraId="513E48CE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42083DF9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D74F1F" w14:paraId="17441C17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5D7BEE63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6"/>
            <w:shd w:val="clear" w:color="auto" w:fill="D5DCE4"/>
            <w:vAlign w:val="center"/>
          </w:tcPr>
          <w:p w14:paraId="767526DA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07605FB3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D74F1F" w14:paraId="73239B86" w14:textId="77777777">
        <w:trPr>
          <w:trHeight w:val="546"/>
          <w:jc w:val="center"/>
        </w:trPr>
        <w:tc>
          <w:tcPr>
            <w:tcW w:w="1519" w:type="dxa"/>
          </w:tcPr>
          <w:p w14:paraId="2AF64B77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6"/>
          </w:tcPr>
          <w:p w14:paraId="45B9D50B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Samodzielnie przygotowuje i prowadzi wypowiedź publiczną oraz moderuje dyskusję, dobierając argumentację i styl komunikacji do celu, odbiorców i kontekstu sytuacyjnego.</w:t>
            </w:r>
          </w:p>
        </w:tc>
        <w:tc>
          <w:tcPr>
            <w:tcW w:w="2482" w:type="dxa"/>
            <w:gridSpan w:val="3"/>
          </w:tcPr>
          <w:p w14:paraId="052EE569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K_U10</w:t>
            </w:r>
          </w:p>
        </w:tc>
      </w:tr>
      <w:tr w:rsidR="00D74F1F" w14:paraId="5B3E0832" w14:textId="77777777">
        <w:trPr>
          <w:trHeight w:val="567"/>
          <w:jc w:val="center"/>
        </w:trPr>
        <w:tc>
          <w:tcPr>
            <w:tcW w:w="1519" w:type="dxa"/>
          </w:tcPr>
          <w:p w14:paraId="38124E3B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197" w:type="dxa"/>
            <w:gridSpan w:val="6"/>
          </w:tcPr>
          <w:p w14:paraId="314FEC4D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Inicjuje i podtrzymuje kontakt interpersonalny; adekwatnie modyfikuje język i strategie komunikacyjne na podstawie analizy sytuacji oraz informacji zwrotnej.</w:t>
            </w:r>
          </w:p>
        </w:tc>
        <w:tc>
          <w:tcPr>
            <w:tcW w:w="2482" w:type="dxa"/>
            <w:gridSpan w:val="3"/>
          </w:tcPr>
          <w:p w14:paraId="622908A8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K_U19</w:t>
            </w:r>
          </w:p>
        </w:tc>
      </w:tr>
      <w:tr w:rsidR="00D74F1F" w14:paraId="7CBF4658" w14:textId="77777777">
        <w:trPr>
          <w:trHeight w:val="567"/>
          <w:jc w:val="center"/>
        </w:trPr>
        <w:tc>
          <w:tcPr>
            <w:tcW w:w="1519" w:type="dxa"/>
          </w:tcPr>
          <w:p w14:paraId="75CD46F8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6197" w:type="dxa"/>
            <w:gridSpan w:val="6"/>
          </w:tcPr>
          <w:p w14:paraId="5F288C02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Efektywnie współpracuje w zespole: rozpoznaje role grupowe, wspiera proces grupowy i współodpowiada za realizację zadań, stosując narzędzia komunikacji wspierające porozumienie.</w:t>
            </w:r>
          </w:p>
        </w:tc>
        <w:tc>
          <w:tcPr>
            <w:tcW w:w="2482" w:type="dxa"/>
            <w:gridSpan w:val="3"/>
          </w:tcPr>
          <w:p w14:paraId="31900291" w14:textId="4AF03D5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</w:t>
            </w:r>
            <w:r w:rsidR="00664C4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D74F1F" w14:paraId="7F653B21" w14:textId="77777777">
        <w:trPr>
          <w:trHeight w:val="293"/>
          <w:jc w:val="center"/>
        </w:trPr>
        <w:tc>
          <w:tcPr>
            <w:tcW w:w="1519" w:type="dxa"/>
          </w:tcPr>
          <w:p w14:paraId="50FA9DB9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E4_U</w:t>
            </w:r>
          </w:p>
        </w:tc>
        <w:tc>
          <w:tcPr>
            <w:tcW w:w="6197" w:type="dxa"/>
            <w:gridSpan w:val="6"/>
          </w:tcPr>
          <w:p w14:paraId="39819082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Formułuje i uzasadnia cele rozwojowe/zawodowe, identyfikuje własne zasoby i ograniczenia oraz projektuje działania wzmacniające kompetencje społeczne w odniesieniu do wymagań rynku pracy.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82" w:type="dxa"/>
            <w:gridSpan w:val="3"/>
          </w:tcPr>
          <w:p w14:paraId="3A919DF3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K_U21</w:t>
            </w:r>
          </w:p>
        </w:tc>
      </w:tr>
      <w:tr w:rsidR="00D74F1F" w14:paraId="61E448A3" w14:textId="77777777">
        <w:trPr>
          <w:trHeight w:val="567"/>
          <w:jc w:val="center"/>
        </w:trPr>
        <w:tc>
          <w:tcPr>
            <w:tcW w:w="1519" w:type="dxa"/>
          </w:tcPr>
          <w:p w14:paraId="699A689B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6"/>
          </w:tcPr>
          <w:p w14:paraId="63ABF9D1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Wykazuje odpowiedzialność za jakość relacji i komunikacji w środowisku akademickim; stosuje zasady kultury dialogu i etyczne standardy współpracy.</w:t>
            </w:r>
          </w:p>
        </w:tc>
        <w:tc>
          <w:tcPr>
            <w:tcW w:w="2482" w:type="dxa"/>
            <w:gridSpan w:val="3"/>
          </w:tcPr>
          <w:p w14:paraId="579BBC43" w14:textId="0D3DACED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664C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0C92416A" w14:textId="604154BC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</w:t>
            </w:r>
            <w:r w:rsidR="00664C4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D74F1F" w14:paraId="71C9C043" w14:textId="77777777">
        <w:trPr>
          <w:trHeight w:val="567"/>
          <w:jc w:val="center"/>
        </w:trPr>
        <w:tc>
          <w:tcPr>
            <w:tcW w:w="1519" w:type="dxa"/>
          </w:tcPr>
          <w:p w14:paraId="0DC379D9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6197" w:type="dxa"/>
            <w:gridSpan w:val="6"/>
          </w:tcPr>
          <w:p w14:paraId="1F262B23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Przyjmuje postawę refleksyjną: analizuje wpływ własnego zachowania na innych, aktywnie korzysta z informacji zwrotnej i wykazuje gotowość do modyfikowania stylu funkcjonowania interpersonalnego.</w:t>
            </w:r>
          </w:p>
        </w:tc>
        <w:tc>
          <w:tcPr>
            <w:tcW w:w="2482" w:type="dxa"/>
            <w:gridSpan w:val="3"/>
          </w:tcPr>
          <w:p w14:paraId="1651A520" w14:textId="237C31CB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664C4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  <w:p w14:paraId="55387412" w14:textId="5DF7D4FD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</w:t>
            </w:r>
            <w:r w:rsidR="00664C4D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</w:tr>
      <w:tr w:rsidR="00D74F1F" w14:paraId="50D18360" w14:textId="77777777">
        <w:trPr>
          <w:trHeight w:val="567"/>
          <w:jc w:val="center"/>
        </w:trPr>
        <w:tc>
          <w:tcPr>
            <w:tcW w:w="1519" w:type="dxa"/>
          </w:tcPr>
          <w:p w14:paraId="63E1AF7E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E3_K</w:t>
            </w:r>
          </w:p>
        </w:tc>
        <w:tc>
          <w:tcPr>
            <w:tcW w:w="6197" w:type="dxa"/>
            <w:gridSpan w:val="6"/>
          </w:tcPr>
          <w:p w14:paraId="64165701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Podejmuje współdziałanie na rzecz grupy/otoczenia; inicjuje działania wspierające innych, utrzymując postawę otwartości, szacunku i współodpowiedzialności.</w:t>
            </w:r>
          </w:p>
        </w:tc>
        <w:tc>
          <w:tcPr>
            <w:tcW w:w="2482" w:type="dxa"/>
            <w:gridSpan w:val="3"/>
          </w:tcPr>
          <w:p w14:paraId="4814A039" w14:textId="6E81444E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</w:t>
            </w:r>
            <w:r w:rsidR="0070573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  <w:p w14:paraId="5A5382E5" w14:textId="14001458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K_</w:t>
            </w:r>
            <w:r w:rsidR="0070573B">
              <w:rPr>
                <w:rFonts w:ascii="Times New Roman" w:eastAsia="Times New Roman" w:hAnsi="Times New Roman" w:cs="Times New Roman"/>
                <w:color w:val="000000"/>
              </w:rPr>
              <w:t>K09</w:t>
            </w:r>
          </w:p>
        </w:tc>
      </w:tr>
      <w:tr w:rsidR="00D74F1F" w14:paraId="60314DDF" w14:textId="77777777">
        <w:trPr>
          <w:trHeight w:val="567"/>
          <w:jc w:val="center"/>
        </w:trPr>
        <w:tc>
          <w:tcPr>
            <w:tcW w:w="10198" w:type="dxa"/>
            <w:gridSpan w:val="10"/>
            <w:shd w:val="clear" w:color="auto" w:fill="D5DCE4"/>
            <w:vAlign w:val="center"/>
          </w:tcPr>
          <w:p w14:paraId="10A9E134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D74F1F" w14:paraId="186BE620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E8556E0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C62BAAC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2A03685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7586495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51780EC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1B99A94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D74F1F" w14:paraId="1B5403B0" w14:textId="77777777">
        <w:trPr>
          <w:trHeight w:val="567"/>
          <w:jc w:val="center"/>
        </w:trPr>
        <w:tc>
          <w:tcPr>
            <w:tcW w:w="1519" w:type="dxa"/>
          </w:tcPr>
          <w:p w14:paraId="7E68229A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</w:tcPr>
          <w:p w14:paraId="7C046AFF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K_U10</w:t>
            </w:r>
          </w:p>
        </w:tc>
        <w:tc>
          <w:tcPr>
            <w:tcW w:w="1471" w:type="dxa"/>
            <w:gridSpan w:val="2"/>
          </w:tcPr>
          <w:p w14:paraId="5089BEFC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C1,C2</w:t>
            </w:r>
          </w:p>
        </w:tc>
        <w:tc>
          <w:tcPr>
            <w:tcW w:w="2074" w:type="dxa"/>
          </w:tcPr>
          <w:p w14:paraId="4F70973F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W1-W5</w:t>
            </w:r>
          </w:p>
        </w:tc>
        <w:tc>
          <w:tcPr>
            <w:tcW w:w="1871" w:type="dxa"/>
            <w:gridSpan w:val="4"/>
            <w:vAlign w:val="center"/>
          </w:tcPr>
          <w:p w14:paraId="2D673397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6B32EA51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74F1F" w14:paraId="5DC87C3C" w14:textId="77777777">
        <w:trPr>
          <w:trHeight w:val="567"/>
          <w:jc w:val="center"/>
        </w:trPr>
        <w:tc>
          <w:tcPr>
            <w:tcW w:w="1519" w:type="dxa"/>
          </w:tcPr>
          <w:p w14:paraId="011E3DE6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811" w:type="dxa"/>
          </w:tcPr>
          <w:p w14:paraId="0039548F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K_U19</w:t>
            </w:r>
          </w:p>
        </w:tc>
        <w:tc>
          <w:tcPr>
            <w:tcW w:w="1471" w:type="dxa"/>
            <w:gridSpan w:val="2"/>
          </w:tcPr>
          <w:p w14:paraId="326DA7AD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C1,C2</w:t>
            </w:r>
          </w:p>
        </w:tc>
        <w:tc>
          <w:tcPr>
            <w:tcW w:w="2074" w:type="dxa"/>
          </w:tcPr>
          <w:p w14:paraId="33C65FE4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W1-W5</w:t>
            </w:r>
          </w:p>
        </w:tc>
        <w:tc>
          <w:tcPr>
            <w:tcW w:w="1871" w:type="dxa"/>
            <w:gridSpan w:val="4"/>
            <w:vAlign w:val="center"/>
          </w:tcPr>
          <w:p w14:paraId="5C597934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</w:tcPr>
          <w:p w14:paraId="6F8BB5C0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74F1F" w14:paraId="1A88A229" w14:textId="77777777">
        <w:trPr>
          <w:trHeight w:val="567"/>
          <w:jc w:val="center"/>
        </w:trPr>
        <w:tc>
          <w:tcPr>
            <w:tcW w:w="1519" w:type="dxa"/>
          </w:tcPr>
          <w:p w14:paraId="6F5302CE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1811" w:type="dxa"/>
          </w:tcPr>
          <w:p w14:paraId="5E9F8016" w14:textId="7C38D368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</w:t>
            </w:r>
            <w:r w:rsidR="0070573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71" w:type="dxa"/>
            <w:gridSpan w:val="2"/>
          </w:tcPr>
          <w:p w14:paraId="2801B186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C1,C2</w:t>
            </w:r>
          </w:p>
        </w:tc>
        <w:tc>
          <w:tcPr>
            <w:tcW w:w="2074" w:type="dxa"/>
          </w:tcPr>
          <w:p w14:paraId="640419E0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W1-W5</w:t>
            </w:r>
          </w:p>
        </w:tc>
        <w:tc>
          <w:tcPr>
            <w:tcW w:w="1871" w:type="dxa"/>
            <w:gridSpan w:val="4"/>
            <w:vAlign w:val="center"/>
          </w:tcPr>
          <w:p w14:paraId="0C61890F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</w:tcPr>
          <w:p w14:paraId="14D3C065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74F1F" w14:paraId="0FC7D7B5" w14:textId="77777777">
        <w:trPr>
          <w:trHeight w:val="567"/>
          <w:jc w:val="center"/>
        </w:trPr>
        <w:tc>
          <w:tcPr>
            <w:tcW w:w="1519" w:type="dxa"/>
          </w:tcPr>
          <w:p w14:paraId="06C1AC9B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E4_U</w:t>
            </w:r>
          </w:p>
        </w:tc>
        <w:tc>
          <w:tcPr>
            <w:tcW w:w="1811" w:type="dxa"/>
          </w:tcPr>
          <w:p w14:paraId="4F076224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K_U21</w:t>
            </w:r>
          </w:p>
        </w:tc>
        <w:tc>
          <w:tcPr>
            <w:tcW w:w="1471" w:type="dxa"/>
            <w:gridSpan w:val="2"/>
          </w:tcPr>
          <w:p w14:paraId="694CE2E1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C1,C2</w:t>
            </w:r>
          </w:p>
        </w:tc>
        <w:tc>
          <w:tcPr>
            <w:tcW w:w="2074" w:type="dxa"/>
          </w:tcPr>
          <w:p w14:paraId="45A8CFD8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W1-W5</w:t>
            </w:r>
          </w:p>
        </w:tc>
        <w:tc>
          <w:tcPr>
            <w:tcW w:w="1871" w:type="dxa"/>
            <w:gridSpan w:val="4"/>
            <w:vAlign w:val="center"/>
          </w:tcPr>
          <w:p w14:paraId="783A5FD7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</w:tcPr>
          <w:p w14:paraId="727BBB28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74F1F" w14:paraId="3C3A6EF1" w14:textId="77777777">
        <w:trPr>
          <w:trHeight w:val="567"/>
          <w:jc w:val="center"/>
        </w:trPr>
        <w:tc>
          <w:tcPr>
            <w:tcW w:w="1519" w:type="dxa"/>
          </w:tcPr>
          <w:p w14:paraId="00AAFD12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</w:tcPr>
          <w:p w14:paraId="3ABB4580" w14:textId="47C2914F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BA336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3D660E8D" w14:textId="369810B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</w:t>
            </w:r>
            <w:r w:rsidR="00BA336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71" w:type="dxa"/>
            <w:gridSpan w:val="2"/>
          </w:tcPr>
          <w:p w14:paraId="0F490E5E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C1,C2</w:t>
            </w:r>
          </w:p>
        </w:tc>
        <w:tc>
          <w:tcPr>
            <w:tcW w:w="2074" w:type="dxa"/>
          </w:tcPr>
          <w:p w14:paraId="00B8E925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W1-W5</w:t>
            </w:r>
          </w:p>
        </w:tc>
        <w:tc>
          <w:tcPr>
            <w:tcW w:w="1871" w:type="dxa"/>
            <w:gridSpan w:val="4"/>
            <w:vAlign w:val="center"/>
          </w:tcPr>
          <w:p w14:paraId="50D4DE5F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452" w:type="dxa"/>
          </w:tcPr>
          <w:p w14:paraId="1163C99E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74F1F" w14:paraId="238273D7" w14:textId="77777777">
        <w:trPr>
          <w:trHeight w:val="567"/>
          <w:jc w:val="center"/>
        </w:trPr>
        <w:tc>
          <w:tcPr>
            <w:tcW w:w="1519" w:type="dxa"/>
          </w:tcPr>
          <w:p w14:paraId="28BEE466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1811" w:type="dxa"/>
          </w:tcPr>
          <w:p w14:paraId="3E4CF685" w14:textId="5BA48BCE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BA336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  <w:p w14:paraId="299A2183" w14:textId="674051FE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</w:t>
            </w:r>
            <w:r w:rsidR="00BA3362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471" w:type="dxa"/>
            <w:gridSpan w:val="2"/>
          </w:tcPr>
          <w:p w14:paraId="19046639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C1,C2</w:t>
            </w:r>
          </w:p>
        </w:tc>
        <w:tc>
          <w:tcPr>
            <w:tcW w:w="2074" w:type="dxa"/>
          </w:tcPr>
          <w:p w14:paraId="58D2650F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W1-W5</w:t>
            </w:r>
          </w:p>
        </w:tc>
        <w:tc>
          <w:tcPr>
            <w:tcW w:w="1871" w:type="dxa"/>
            <w:gridSpan w:val="4"/>
            <w:vAlign w:val="center"/>
          </w:tcPr>
          <w:p w14:paraId="1A7BCDD0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452" w:type="dxa"/>
          </w:tcPr>
          <w:p w14:paraId="1A93647B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74F1F" w14:paraId="5D1150C1" w14:textId="77777777">
        <w:trPr>
          <w:trHeight w:val="567"/>
          <w:jc w:val="center"/>
        </w:trPr>
        <w:tc>
          <w:tcPr>
            <w:tcW w:w="1519" w:type="dxa"/>
          </w:tcPr>
          <w:p w14:paraId="5EA2B893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E3_K</w:t>
            </w:r>
          </w:p>
        </w:tc>
        <w:tc>
          <w:tcPr>
            <w:tcW w:w="1811" w:type="dxa"/>
          </w:tcPr>
          <w:p w14:paraId="238FC575" w14:textId="372C6AA6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</w:t>
            </w:r>
            <w:r w:rsidR="00BA336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  <w:p w14:paraId="5D96DC1D" w14:textId="161FA7C6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K_K</w:t>
            </w:r>
            <w:r w:rsidR="00BA3362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471" w:type="dxa"/>
            <w:gridSpan w:val="2"/>
          </w:tcPr>
          <w:p w14:paraId="7F8730BA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C1,C2</w:t>
            </w:r>
          </w:p>
        </w:tc>
        <w:tc>
          <w:tcPr>
            <w:tcW w:w="2074" w:type="dxa"/>
          </w:tcPr>
          <w:p w14:paraId="00655ADE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W1-W5</w:t>
            </w:r>
          </w:p>
        </w:tc>
        <w:tc>
          <w:tcPr>
            <w:tcW w:w="1871" w:type="dxa"/>
            <w:gridSpan w:val="4"/>
            <w:vAlign w:val="center"/>
          </w:tcPr>
          <w:p w14:paraId="4B5B9D89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452" w:type="dxa"/>
          </w:tcPr>
          <w:p w14:paraId="14B77507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74F1F" w14:paraId="36DF27D7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C53D354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D74F1F" w14:paraId="05416260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2A08335B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0" w:type="dxa"/>
            <w:gridSpan w:val="3"/>
            <w:vMerge w:val="restart"/>
            <w:shd w:val="clear" w:color="auto" w:fill="D5DCE4"/>
            <w:vAlign w:val="center"/>
          </w:tcPr>
          <w:p w14:paraId="17A6F224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7AA41EE0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D74F1F" w14:paraId="20574272" w14:textId="77777777">
        <w:trPr>
          <w:cantSplit/>
          <w:trHeight w:val="653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3867BF0A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Merge/>
            <w:shd w:val="clear" w:color="auto" w:fill="D5DCE4"/>
            <w:vAlign w:val="center"/>
          </w:tcPr>
          <w:p w14:paraId="7F18A504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6F7F881B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0A95652E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D74F1F" w14:paraId="629C309A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E9CD3C0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3"/>
            <w:vMerge w:val="restart"/>
            <w:vAlign w:val="center"/>
          </w:tcPr>
          <w:p w14:paraId="71743966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12CAF74B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F7DA7D4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74F1F" w14:paraId="6D85154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1D0173D1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Warsztaty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5BC4D3AB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8F9308C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85" w:type="dxa"/>
            <w:gridSpan w:val="2"/>
            <w:vAlign w:val="center"/>
          </w:tcPr>
          <w:p w14:paraId="7AC83423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D74F1F" w14:paraId="7F357329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258E3AA8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5C6D0E3B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EC7C70C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12BFA7E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74F1F" w14:paraId="41EF699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08FDF5C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6A78A2D0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10AEFF6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BA48783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74F1F" w14:paraId="39CD91D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18B24D6D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0B510F57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FC62DAF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0D36B71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74F1F" w14:paraId="4392FC9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1E618D86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1F7F1709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9A38770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18FC55B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74F1F" w14:paraId="4B4F2F5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78F10019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509DB7B7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D9DD267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A9D9AFA" w14:textId="77777777" w:rsidR="00D74F1F" w:rsidRDefault="00D74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74F1F" w14:paraId="0B7F599A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37D7806F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3"/>
            <w:vAlign w:val="center"/>
          </w:tcPr>
          <w:p w14:paraId="6166F0C6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452FBC96" w14:textId="77777777" w:rsidR="00D74F1F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85" w:type="dxa"/>
            <w:gridSpan w:val="2"/>
            <w:vAlign w:val="center"/>
          </w:tcPr>
          <w:p w14:paraId="5362AC78" w14:textId="77777777" w:rsidR="00D74F1F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D74F1F" w14:paraId="5E045991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2F9D32E7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3CB6861C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4143B0DF" w14:textId="77777777" w:rsidR="00D74F1F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85" w:type="dxa"/>
            <w:gridSpan w:val="2"/>
            <w:vAlign w:val="center"/>
          </w:tcPr>
          <w:p w14:paraId="5CE5268A" w14:textId="77777777" w:rsidR="00D74F1F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74F1F" w14:paraId="51ECF408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67ECFCEB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09AFBD22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35F77B32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23E0FB1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F" w14:paraId="7BC047FF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0A5AC521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57493DE1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2FD7D81A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68A1E7D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F" w14:paraId="63EEEBA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A96F062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2B90A510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671918E6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8DD1156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F" w14:paraId="351B937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5FD35695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49AD8811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2149CA45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6E18798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F" w14:paraId="46C7F378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7DF5B789" w14:textId="77777777" w:rsidR="00D74F1F" w:rsidRDefault="00D7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tcBorders>
              <w:bottom w:val="single" w:sz="4" w:space="0" w:color="000000"/>
            </w:tcBorders>
            <w:vAlign w:val="center"/>
          </w:tcPr>
          <w:p w14:paraId="568F0B83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48B98D76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1174BECA" w14:textId="77777777" w:rsidR="00D74F1F" w:rsidRDefault="00D74F1F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F" w14:paraId="5B28E417" w14:textId="77777777">
        <w:trPr>
          <w:trHeight w:val="567"/>
          <w:jc w:val="center"/>
        </w:trPr>
        <w:tc>
          <w:tcPr>
            <w:tcW w:w="7226" w:type="dxa"/>
            <w:gridSpan w:val="6"/>
            <w:shd w:val="clear" w:color="auto" w:fill="F2F2F2"/>
            <w:vAlign w:val="center"/>
          </w:tcPr>
          <w:p w14:paraId="7FD4233F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0859343B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1485" w:type="dxa"/>
            <w:gridSpan w:val="2"/>
            <w:vAlign w:val="center"/>
          </w:tcPr>
          <w:p w14:paraId="61357726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</w:tr>
      <w:tr w:rsidR="00D74F1F" w14:paraId="7F502482" w14:textId="77777777">
        <w:trPr>
          <w:trHeight w:val="567"/>
          <w:jc w:val="center"/>
        </w:trPr>
        <w:tc>
          <w:tcPr>
            <w:tcW w:w="7226" w:type="dxa"/>
            <w:gridSpan w:val="6"/>
            <w:shd w:val="clear" w:color="auto" w:fill="F2F2F2"/>
            <w:vAlign w:val="center"/>
          </w:tcPr>
          <w:p w14:paraId="4AC326CA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3BB3E475" w14:textId="77777777" w:rsidR="00D74F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</w:tbl>
    <w:p w14:paraId="40957E6C" w14:textId="77777777" w:rsidR="00D74F1F" w:rsidRDefault="00D74F1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421FBDFD" w14:textId="77777777" w:rsidR="00D74F1F" w:rsidRDefault="00D74F1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D74F1F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21C6" w14:textId="77777777" w:rsidR="009E3E6E" w:rsidRDefault="009E3E6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D82C726" w14:textId="77777777" w:rsidR="009E3E6E" w:rsidRDefault="009E3E6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020704C-FC4D-4B9F-8873-044D62B117D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C18537C-F85B-426B-8864-D0A2989A980E}"/>
    <w:embedBold r:id="rId3" w:fontKey="{C10500F0-D507-42F4-8E74-57F6C660DFF4}"/>
    <w:embedItalic r:id="rId4" w:fontKey="{A98A3E1E-4CFB-4B7B-88EC-300180332E03}"/>
    <w:embedBoldItalic r:id="rId5" w:fontKey="{6BBFAB53-011A-4DF7-B7FE-9A3F1DD4F1F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7A4B3E85-72E7-4D13-8DF7-929CF5D6E22A}"/>
    <w:embedBold r:id="rId7" w:fontKey="{6240B431-DF04-4090-AE6E-2E478B78ABA9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B1976BA3-8473-4D00-9EA9-4A7965019E01}"/>
    <w:embedBold r:id="rId9" w:fontKey="{FBFB9B49-863B-411E-AF01-F365B72EB4F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09B1FAD3-69A2-4583-89EC-AE770BD8971E}"/>
    <w:embedItalic r:id="rId11" w:fontKey="{335C285B-6749-4E0A-A555-95DDE40AA8EC}"/>
  </w:font>
  <w:font w:name="EUAlbertin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962620AD-1715-4AF0-9B8F-0742E0DC5F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0A7B" w14:textId="77777777" w:rsidR="00D74F1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753694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6D3FE87F" w14:textId="77777777" w:rsidR="00D74F1F" w:rsidRDefault="00D74F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39DD7" w14:textId="77777777" w:rsidR="009E3E6E" w:rsidRDefault="009E3E6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BD62954" w14:textId="77777777" w:rsidR="009E3E6E" w:rsidRDefault="009E3E6E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66F8E"/>
    <w:multiLevelType w:val="multilevel"/>
    <w:tmpl w:val="E2020C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5475235"/>
    <w:multiLevelType w:val="multilevel"/>
    <w:tmpl w:val="0DCE186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" w15:restartNumberingAfterBreak="0">
    <w:nsid w:val="3F2D53BC"/>
    <w:multiLevelType w:val="multilevel"/>
    <w:tmpl w:val="3F9EF9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322947"/>
    <w:multiLevelType w:val="multilevel"/>
    <w:tmpl w:val="958A64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Nagwek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Nagwek6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0C818C0"/>
    <w:multiLevelType w:val="multilevel"/>
    <w:tmpl w:val="55AC2F1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943804882">
    <w:abstractNumId w:val="3"/>
  </w:num>
  <w:num w:numId="2" w16cid:durableId="1304894602">
    <w:abstractNumId w:val="0"/>
  </w:num>
  <w:num w:numId="3" w16cid:durableId="1280797425">
    <w:abstractNumId w:val="4"/>
  </w:num>
  <w:num w:numId="4" w16cid:durableId="1884249016">
    <w:abstractNumId w:val="1"/>
  </w:num>
  <w:num w:numId="5" w16cid:durableId="1652975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F1F"/>
    <w:rsid w:val="00432FBF"/>
    <w:rsid w:val="00664C4D"/>
    <w:rsid w:val="0070573B"/>
    <w:rsid w:val="00753694"/>
    <w:rsid w:val="009E3E6E"/>
    <w:rsid w:val="00BA3362"/>
    <w:rsid w:val="00D7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6306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OXJiscIqOA9s2UUOChTjPQrmaQ==">CgMxLjA4AHIhMVZfQkhUZEphbU04NDhzaWVVRTFBOU1vZjZ6a1lkV2dQ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1221</Words>
  <Characters>7332</Characters>
  <Application>Microsoft Office Word</Application>
  <DocSecurity>0</DocSecurity>
  <Lines>61</Lines>
  <Paragraphs>17</Paragraphs>
  <ScaleCrop>false</ScaleCrop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5</cp:revision>
  <dcterms:created xsi:type="dcterms:W3CDTF">2026-03-11T22:20:00Z</dcterms:created>
  <dcterms:modified xsi:type="dcterms:W3CDTF">2026-03-11T22:23:00Z</dcterms:modified>
</cp:coreProperties>
</file>