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5FD1A1" w14:textId="77777777" w:rsidR="008C220A" w:rsidRDefault="00D54C1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docs-internal-guid-9ddc0c8c-7fff-4d2e-cc"/>
      <w:bookmarkEnd w:id="0"/>
      <w:r>
        <w:rPr>
          <w:noProof/>
        </w:rPr>
        <w:drawing>
          <wp:inline distT="0" distB="0" distL="0" distR="0" wp14:anchorId="3B5FD2F3" wp14:editId="3B5FD2F4">
            <wp:extent cx="2080260" cy="647700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B5FD1A2" w14:textId="77777777" w:rsidR="008C220A" w:rsidRDefault="008C220A">
      <w:pPr>
        <w:pStyle w:val="LO-normal"/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9885" w:type="dxa"/>
        <w:jc w:val="center"/>
        <w:tblLayout w:type="fixed"/>
        <w:tblLook w:val="0000" w:firstRow="0" w:lastRow="0" w:firstColumn="0" w:lastColumn="0" w:noHBand="0" w:noVBand="0"/>
      </w:tblPr>
      <w:tblGrid>
        <w:gridCol w:w="1483"/>
        <w:gridCol w:w="1020"/>
        <w:gridCol w:w="765"/>
        <w:gridCol w:w="107"/>
        <w:gridCol w:w="1336"/>
        <w:gridCol w:w="2040"/>
        <w:gridCol w:w="105"/>
        <w:gridCol w:w="719"/>
        <w:gridCol w:w="901"/>
        <w:gridCol w:w="209"/>
        <w:gridCol w:w="1200"/>
      </w:tblGrid>
      <w:tr w:rsidR="008C220A" w14:paraId="3B5FD1A4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1A3" w14:textId="77777777" w:rsidR="008C220A" w:rsidRDefault="00D54C12">
            <w:pPr>
              <w:pStyle w:val="Nagwek2"/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8C220A" w14:paraId="3B5FD1A6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FD1A5" w14:textId="77777777" w:rsidR="008C220A" w:rsidRDefault="00D54C12">
            <w:pPr>
              <w:pStyle w:val="Nagwek2"/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8C220A" w14:paraId="3B5FD1A9" w14:textId="77777777">
        <w:trPr>
          <w:trHeight w:val="567"/>
          <w:jc w:val="center"/>
        </w:trPr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1A7" w14:textId="77777777" w:rsidR="008C220A" w:rsidRDefault="00D54C12">
            <w:pPr>
              <w:pStyle w:val="Nagwek3"/>
              <w:widowControl w:val="0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Rodzaj przedmiotu: </w:t>
            </w:r>
          </w:p>
        </w:tc>
        <w:tc>
          <w:tcPr>
            <w:tcW w:w="6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A8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</w:tr>
      <w:tr w:rsidR="008C220A" w14:paraId="3B5FD1AB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AA" w14:textId="77777777" w:rsidR="008C220A" w:rsidRDefault="00D54C12">
            <w:pPr>
              <w:pStyle w:val="Nagwek1"/>
              <w:widowControl w:val="0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magisterskie (7 PRK)</w:t>
            </w:r>
          </w:p>
        </w:tc>
      </w:tr>
      <w:tr w:rsidR="008C220A" w14:paraId="3B5FD1AD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AC" w14:textId="77777777" w:rsidR="008C220A" w:rsidRDefault="00D54C12">
            <w:pPr>
              <w:pStyle w:val="Nagwek2"/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8C220A" w14:paraId="3B5FD1AF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AE" w14:textId="77777777" w:rsidR="008C220A" w:rsidRDefault="00D54C12">
            <w:pPr>
              <w:pStyle w:val="Nagwek2"/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8C220A" w14:paraId="3B5FD1B1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3B5FD1B0" w14:textId="77777777" w:rsidR="008C220A" w:rsidRDefault="00D54C12">
            <w:pPr>
              <w:pStyle w:val="Nagwek2"/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</w:rPr>
              <w:t>Psychologia interwencji kryzysowej</w:t>
            </w:r>
          </w:p>
        </w:tc>
      </w:tr>
      <w:tr w:rsidR="008C220A" w14:paraId="3B5FD1B9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B2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3B5FD1B3" w14:textId="77777777" w:rsidR="008C220A" w:rsidRDefault="00D54C12">
            <w:pPr>
              <w:pStyle w:val="LO-normal"/>
              <w:widowControl w:val="0"/>
              <w:tabs>
                <w:tab w:val="left" w:pos="1789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 </w:t>
            </w:r>
            <w:r>
              <w:rPr>
                <w:rFonts w:ascii="Times New Roman" w:hAnsi="Times New Roman"/>
                <w:bCs/>
              </w:rPr>
              <w:t>Pogłębienie i zintegrowanie wiedzy o kryzysie psychologicznym (mechanizmach, dynamice i uwarunkowaniach biopsychospołecznych) oraz o konsekwencjach kryzysu dla funkcjonowania jednostki i systemu rodzinnego/społecznego.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B5FD1B4" w14:textId="77777777" w:rsidR="008C220A" w:rsidRDefault="00D54C12">
            <w:pPr>
              <w:pStyle w:val="LO-normal"/>
              <w:widowControl w:val="0"/>
              <w:tabs>
                <w:tab w:val="left" w:pos="182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 </w:t>
            </w:r>
            <w:r>
              <w:rPr>
                <w:rFonts w:ascii="Times New Roman" w:eastAsia="Times New Roman" w:hAnsi="Times New Roman" w:cs="Times New Roman"/>
              </w:rPr>
              <w:t>Rozwijanie umiejętności analizy i interpretacji złożonych sytuacji kryzysowych (np. kryzys traumatyczny, suicydalny, przemoc domowa, utrata/żałoba, katastrofa/zdarzenie masowe) z uwzględnieniem kontekstu instytucjonalnego i sieci wsparcia.</w:t>
            </w:r>
          </w:p>
          <w:p w14:paraId="3B5FD1B5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projektowania i prowadzenia działań interwencyjnych o charakterze krótkoterminowym (stabilizacja, redukcja pobudzenia, wsparcie praktyczne, mobilizacja zasobów, plan bezpieczeństwa, rekomendacje dalszej pomocy), z zastosowaniem procedur warsztatowych i symulacji.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B5FD1B6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Kształtowanie zaawansowanych kompetencji komunikacyjnych w kontakcie kryzysowym (wywiad kryzysowy, deeskalacja, rozmowa z osobą w kryzysie i/lub rodziną), z krytyczną oceną ograniczeń własnego wnioskowania i ryzyka błędów interwencyjnych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B5FD1B7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C5 </w:t>
            </w:r>
            <w:r>
              <w:rPr>
                <w:rFonts w:ascii="Times New Roman" w:hAnsi="Times New Roman"/>
                <w:bCs/>
              </w:rPr>
              <w:t>Pogłębienie rozumienia standardów etyczno</w:t>
            </w:r>
            <w:r>
              <w:rPr>
                <w:rFonts w:ascii="Times New Roman" w:hAnsi="Times New Roman"/>
                <w:bCs/>
              </w:rPr>
              <w:noBreakHyphen/>
            </w:r>
            <w:r>
              <w:rPr>
                <w:rFonts w:ascii="Times New Roman" w:hAnsi="Times New Roman"/>
                <w:bCs/>
              </w:rPr>
              <w:t>zawodowych w interwencji kryzysowej: granice kompetencji, poufność, dokumentowanie, odpowiedzialność za skutki działań, zasady kierowania do innych specjalistów i współpracy interdyscyplinarnej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B5FD1B8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C6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odpowiedzialności za bezpieczeństwo psychologiczne osób wspieranych oraz za własną higienę pracy (profilaktyka wtórnej traumatyzacji i przeciążenia; rola superwizji i autorefleksji).</w:t>
            </w:r>
          </w:p>
        </w:tc>
      </w:tr>
      <w:tr w:rsidR="008C220A" w14:paraId="3B5FD1BB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BA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8C220A" w14:paraId="3B5FD1BD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BC" w14:textId="77777777" w:rsidR="008C220A" w:rsidRDefault="00D54C12">
            <w:pPr>
              <w:pStyle w:val="LO-normal"/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hAnsi="Times New Roman"/>
              </w:rPr>
              <w:t>pogłębiona orientacja w obszarze zdrowia psychicznego (modele zdrowia i zaburzeń; uwarunkowania biopsychospołeczne), wyszukiwanie i krytyczna selekcja informacji z literatury oraz redakcja krótkiego tekstu zgodnie ze standardami edytorskimi, gotowość do aktywnego udziału w warsztatach (symulacje, role</w:t>
            </w:r>
            <w:r>
              <w:rPr>
                <w:rFonts w:ascii="Times New Roman" w:hAnsi="Times New Roman"/>
              </w:rPr>
              <w:noBreakHyphen/>
              <w:t>play, informacja zwrotna).</w:t>
            </w:r>
          </w:p>
        </w:tc>
      </w:tr>
      <w:tr w:rsidR="008C220A" w14:paraId="3B5FD1C8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BE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3B5FD1BF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Warsztat problemowy / miniwykład wprowadzający (Pd1, Pd2)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problemowa i analiza dowodów/wytycznych (Pd2, Pd3)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studium przypadku (case formulation w interwencji kryzysowej) (Pd2, Pd4, Pd6)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Symulacje i odgrywanie ról (wywiad kryzysowy, deeskalacja, formułowanie planu bezpieczeństwa) (Pd4, Pd5, Pd6)</w:t>
            </w:r>
          </w:p>
          <w:p w14:paraId="3B5FD1C0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Mk5</w:t>
            </w:r>
            <w:r>
              <w:rPr>
                <w:rFonts w:ascii="Times New Roman" w:eastAsia="Times New Roman" w:hAnsi="Times New Roman" w:cs="Times New Roman"/>
              </w:rPr>
              <w:t xml:space="preserve"> Trening umiejętności + informacja zwrotna (nauczyciel + peer feedback) na podstawie kryteriów/rubryk (Pd6, Pd7)</w:t>
            </w:r>
          </w:p>
          <w:p w14:paraId="3B5FD1C1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Mk6</w:t>
            </w:r>
            <w:r>
              <w:rPr>
                <w:rFonts w:ascii="Times New Roman" w:eastAsia="Times New Roman" w:hAnsi="Times New Roman" w:cs="Times New Roman"/>
              </w:rPr>
              <w:t xml:space="preserve"> Praca projektowa (opracowanie pisemnego planu interwencji i dokumentacji) + konsultacje (Pd2, Pd3,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Pd6)</w:t>
            </w:r>
          </w:p>
          <w:p w14:paraId="3B5FD1C2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3B5FD1C3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prezentacje multimedialne (schematy kryzysu, modele interwencji, procedury bezpieczeństwa).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fragmenty monografii/rozdziały podręczników (obowiązkowa i uzupełniająca literatura).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artykuły recenzowane i dokumenty robocze (np. wytyczne PFA) + zasoby biblioteczne.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B5FD1C4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</w:t>
            </w:r>
            <w:r>
              <w:rPr>
                <w:rFonts w:ascii="Times New Roman" w:eastAsia="Times New Roman" w:hAnsi="Times New Roman" w:cs="Times New Roman"/>
                <w:bCs/>
              </w:rPr>
              <w:t>studia przypadków i winiety kryzysowe (suicydalność, przemoc, trauma, żałoba, kryzys rodzinny).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B5FD1C5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Pd5 </w:t>
            </w:r>
            <w:r>
              <w:rPr>
                <w:rFonts w:ascii="Times New Roman" w:eastAsia="Times New Roman" w:hAnsi="Times New Roman" w:cs="Times New Roman"/>
                <w:bCs/>
              </w:rPr>
              <w:t>materiały do symulacji (scenariusze rozmów, karty ról, sytuacje kontaktu interwencyjnego).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B5FD1C6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Pd6 </w:t>
            </w:r>
            <w:r>
              <w:rPr>
                <w:rFonts w:ascii="Times New Roman" w:eastAsia="Times New Roman" w:hAnsi="Times New Roman" w:cs="Times New Roman"/>
                <w:bCs/>
              </w:rPr>
              <w:t>arkusze obserwacji i checklisty (kryteria jakości rozmowy kryzysowej, ramy planu interwencji, rubryki oceny).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B5FD1C7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Pd7 </w:t>
            </w:r>
            <w:r>
              <w:rPr>
                <w:rFonts w:ascii="Times New Roman" w:eastAsia="Times New Roman" w:hAnsi="Times New Roman" w:cs="Times New Roman"/>
                <w:bCs/>
              </w:rPr>
              <w:t>materiały audio/wideo (krótkie nagrania demonstracyjne jako punkt wyjścia do analizy komunikacji i błędów interwencyjnych; jeśli wykorzystywane).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8C220A" w14:paraId="3B5FD1CB" w14:textId="77777777">
        <w:trPr>
          <w:trHeight w:val="273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B5FD1C9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3B5FD1CA" w14:textId="77777777" w:rsidR="008C220A" w:rsidRDefault="008C220A">
            <w:pPr>
              <w:pStyle w:val="LO-normal"/>
              <w:widowControl w:val="0"/>
              <w:spacing w:after="0" w:line="20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C220A" w14:paraId="3B5FD1F5" w14:textId="77777777">
        <w:trPr>
          <w:trHeight w:val="1266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1CC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</w:t>
            </w:r>
          </w:p>
          <w:p w14:paraId="3B5FD1CD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 psychologiczny jako zjawisko złożone</w:t>
            </w:r>
          </w:p>
          <w:p w14:paraId="3B5FD1CE" w14:textId="77777777" w:rsidR="008C220A" w:rsidRDefault="00D54C12">
            <w:pPr>
              <w:pStyle w:val="LO-normal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definicje kryzysu, wydarzenia krytyczne, dynamika kryzysu, dwuwartościowość kryzysu (ryzyko i szansa zmiany),</w:t>
            </w:r>
          </w:p>
          <w:p w14:paraId="3B5FD1CF" w14:textId="77777777" w:rsidR="008C220A" w:rsidRDefault="00D54C12">
            <w:pPr>
              <w:pStyle w:val="LO-normal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mechanizmów stresu i przejścia od stresu do kryzysu,</w:t>
            </w:r>
          </w:p>
          <w:p w14:paraId="3B5FD1D0" w14:textId="77777777" w:rsidR="008C220A" w:rsidRDefault="00D54C12">
            <w:pPr>
              <w:pStyle w:val="LO-normal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kontrakt warsztatowy: bezpieczeństwo psychologiczne, poufność, zasady pracy na winietach.</w:t>
            </w:r>
          </w:p>
          <w:p w14:paraId="3B5FD1D1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Ramy interwencji kryzysowej i pierwsza pomoc psychologiczna (PFA)</w:t>
            </w:r>
          </w:p>
          <w:p w14:paraId="3B5FD1D2" w14:textId="77777777" w:rsidR="008C220A" w:rsidRDefault="00D54C12">
            <w:pPr>
              <w:pStyle w:val="LO-normal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cele interwencji krótkoterminowej; „co jest, a czym nie jest” interwencja kryzysowa,</w:t>
            </w:r>
          </w:p>
          <w:p w14:paraId="3B5FD1D3" w14:textId="77777777" w:rsidR="008C220A" w:rsidRDefault="00D54C12">
            <w:pPr>
              <w:pStyle w:val="LO-normal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elementy PFA (wsparcie humanitarne, praktyczne i ukierunkowane),</w:t>
            </w:r>
          </w:p>
          <w:p w14:paraId="3B5FD1D4" w14:textId="77777777" w:rsidR="008C220A" w:rsidRDefault="00D54C12">
            <w:pPr>
              <w:pStyle w:val="LO-normal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ćwiczenia: stabilizacja, porządkowanie priorytetów, mobilizacja zasobów. </w:t>
            </w:r>
          </w:p>
          <w:p w14:paraId="3B5FD1D5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Diagnoza sytuacji kryzysowej i projektowanie działań</w:t>
            </w:r>
          </w:p>
          <w:p w14:paraId="3B5FD1D6" w14:textId="77777777" w:rsidR="008C220A" w:rsidRDefault="00D54C12">
            <w:pPr>
              <w:pStyle w:val="LO-normal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zbieranie informacji w kontakcie kryzysowym, ocena obszarów funkcjonowania, czynniki ryzyka i ochronne,</w:t>
            </w:r>
          </w:p>
          <w:p w14:paraId="3B5FD1D7" w14:textId="77777777" w:rsidR="008C220A" w:rsidRDefault="00D54C12">
            <w:pPr>
              <w:pStyle w:val="LO-normal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triage interwencyjny: kiedy konieczna jest eskalacja i/lub konsultacja interdyscyplinarna,</w:t>
            </w:r>
          </w:p>
          <w:p w14:paraId="3B5FD1D8" w14:textId="77777777" w:rsidR="008C220A" w:rsidRDefault="00D54C12">
            <w:pPr>
              <w:pStyle w:val="LO-normal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etyczne i profesjonalne zasady dokumentowania decyzji.</w:t>
            </w:r>
          </w:p>
          <w:p w14:paraId="3B5FD1D9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 suicydalny: analiza, plan bezpieczeństwa, postwencja</w:t>
            </w:r>
          </w:p>
          <w:p w14:paraId="3B5FD1DA" w14:textId="77777777" w:rsidR="008C220A" w:rsidRDefault="00D54C12">
            <w:pPr>
              <w:pStyle w:val="LO-normal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uwarunkowania kryzysu suicydalnego, logika działań interwencyjnych,</w:t>
            </w:r>
          </w:p>
          <w:p w14:paraId="3B5FD1DB" w14:textId="77777777" w:rsidR="008C220A" w:rsidRDefault="00D54C12">
            <w:pPr>
              <w:pStyle w:val="LO-normal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rozmowa oceniająca ryzyko (symulacja), formułowanie planu bezpieczeństwa i rekomendacji,</w:t>
            </w:r>
          </w:p>
          <w:p w14:paraId="3B5FD1DC" w14:textId="77777777" w:rsidR="008C220A" w:rsidRDefault="00D54C12">
            <w:pPr>
              <w:pStyle w:val="LO-normal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postwencja: podstawowe zasady działań po samobójstwie dokonanym (na poziomie interwencji i koordynacji pomocy).</w:t>
            </w:r>
          </w:p>
          <w:p w14:paraId="3B5FD1DD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Przemoc domowa jako źródło kryzysu: interwencja wobec ofiar i praca w sieci pomocy</w:t>
            </w:r>
          </w:p>
          <w:p w14:paraId="3B5FD1DE" w14:textId="77777777" w:rsidR="008C220A" w:rsidRDefault="00D54C12">
            <w:pPr>
              <w:pStyle w:val="LO-normal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mechanizmy przemocy, ryzyka eskalacji i bezpieczeństwo,</w:t>
            </w:r>
          </w:p>
          <w:p w14:paraId="3B5FD1DF" w14:textId="77777777" w:rsidR="008C220A" w:rsidRDefault="00D54C12">
            <w:pPr>
              <w:pStyle w:val="LO-normal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interwencja wobec osób dorosłych i dzieci doświadczających przemocy,</w:t>
            </w:r>
          </w:p>
          <w:p w14:paraId="3B5FD1E0" w14:textId="77777777" w:rsidR="008C220A" w:rsidRDefault="00D54C12">
            <w:pPr>
              <w:pStyle w:val="LO-normal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ćwiczenie: plan interwencji + analiza dylematów etycznych i instytucjonalnych.</w:t>
            </w:r>
          </w:p>
          <w:p w14:paraId="3B5FD1E1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 traumatyczny: ostry stres, PTSD i pułapki interwencji</w:t>
            </w:r>
          </w:p>
          <w:p w14:paraId="3B5FD1E2" w14:textId="77777777" w:rsidR="008C220A" w:rsidRDefault="00D54C12">
            <w:pPr>
              <w:pStyle w:val="LO-normal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reakcje potraumatyczne i ich zróżnicowanie,</w:t>
            </w:r>
          </w:p>
          <w:p w14:paraId="3B5FD1E3" w14:textId="77777777" w:rsidR="008C220A" w:rsidRDefault="00D54C12">
            <w:pPr>
              <w:pStyle w:val="LO-normal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zasady bezpiecznej stabilizacji i wsparcia (co wzmacnia zasoby, a co może szkodzić),</w:t>
            </w:r>
          </w:p>
          <w:p w14:paraId="3B5FD1E4" w14:textId="77777777" w:rsidR="008C220A" w:rsidRDefault="00D54C12">
            <w:pPr>
              <w:pStyle w:val="LO-normal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rozmowa wspierająca po zdarzeniu traumatycznym + rekomendacje dalszej pomocy.</w:t>
            </w:r>
          </w:p>
          <w:p w14:paraId="3B5FD1E5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 utraty i żałoby: diagnoza potrzeb i adekwatne wsparcie</w:t>
            </w:r>
          </w:p>
          <w:p w14:paraId="3B5FD1E6" w14:textId="77777777" w:rsidR="008C220A" w:rsidRDefault="00D54C12">
            <w:pPr>
              <w:pStyle w:val="LO-normal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zmienność reakcji żałoby, czynniki ryzyka powikłań,</w:t>
            </w:r>
          </w:p>
          <w:p w14:paraId="3B5FD1E7" w14:textId="77777777" w:rsidR="008C220A" w:rsidRDefault="00D54C12">
            <w:pPr>
              <w:pStyle w:val="LO-normal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noBreakHyphen/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play: rozmowa wspierająca i plan „kolejnych kroków” pomocy,</w:t>
            </w:r>
          </w:p>
          <w:p w14:paraId="3B5FD1E8" w14:textId="77777777" w:rsidR="008C220A" w:rsidRDefault="00D54C12">
            <w:pPr>
              <w:pStyle w:val="LO-normal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granice interwencji a wskazania do psychoterapii i/lub konsultacji psychiatrycznej. </w:t>
            </w:r>
          </w:p>
          <w:p w14:paraId="3B5FD1E9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Kryzysy dzieci i młodzieży oraz kryzysy szkolne</w:t>
            </w:r>
          </w:p>
          <w:p w14:paraId="3B5FD1EA" w14:textId="77777777" w:rsidR="008C220A" w:rsidRDefault="00D54C12">
            <w:pPr>
              <w:pStyle w:val="LO-normal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specyfika interwencji z osobą małoletnią i współpracy z opiekunami/instytucjami,</w:t>
            </w:r>
          </w:p>
          <w:p w14:paraId="3B5FD1EB" w14:textId="77777777" w:rsidR="008C220A" w:rsidRDefault="00D54C12">
            <w:pPr>
              <w:pStyle w:val="LO-normal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interwencja w kryzysie szkolnym (zdarzenie krytyczne, zachowania ryzykowne, przemoc rówieśnicza),</w:t>
            </w:r>
          </w:p>
          <w:p w14:paraId="3B5FD1EC" w14:textId="77777777" w:rsidR="008C220A" w:rsidRDefault="00D54C12">
            <w:pPr>
              <w:pStyle w:val="LO-normal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ćwiczenie: plan działań dla szkoły/rodziny + komunikacja i koordynacja.</w:t>
            </w:r>
          </w:p>
          <w:p w14:paraId="3B5FD1ED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Kryzysy katastroficzne i środowiskowe: interwencja wobec społeczności i służb</w:t>
            </w:r>
          </w:p>
          <w:p w14:paraId="3B5FD1EE" w14:textId="77777777" w:rsidR="008C220A" w:rsidRDefault="00D54C12">
            <w:pPr>
              <w:pStyle w:val="LO-normal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fazy radzenia sobie społeczności po katastrofie, rola zespołów interwencyjnych,</w:t>
            </w:r>
          </w:p>
          <w:p w14:paraId="3B5FD1EF" w14:textId="77777777" w:rsidR="008C220A" w:rsidRDefault="00D54C12">
            <w:pPr>
              <w:pStyle w:val="LO-normal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z osobami z grup wysokiego ryzyka oraz z ratownikami (profilaktyka wtórnej traumatyzacji),</w:t>
            </w:r>
          </w:p>
          <w:p w14:paraId="3B5FD1F0" w14:textId="77777777" w:rsidR="008C220A" w:rsidRDefault="00D54C12">
            <w:pPr>
              <w:pStyle w:val="LO-normal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ćwiczenie: projekt interwencji dla społeczności / instytucji. </w:t>
            </w:r>
          </w:p>
          <w:p w14:paraId="3B5FD1F1" w14:textId="77777777" w:rsidR="008C220A" w:rsidRDefault="00D54C12">
            <w:pPr>
              <w:pStyle w:val="LO-normal"/>
              <w:widowControl w:val="0"/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10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Etyka, odpowiedzialność, superwizja i zaliczenie praktyczne</w:t>
            </w:r>
          </w:p>
          <w:p w14:paraId="3B5FD1F2" w14:textId="77777777" w:rsidR="008C220A" w:rsidRDefault="00D54C12">
            <w:pPr>
              <w:pStyle w:val="LO-normal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dylematy etyczne (poufność, granice kompetencji, dokumentacja, współpraca interdyscyplinarna), </w:t>
            </w:r>
          </w:p>
          <w:p w14:paraId="3B5FD1F3" w14:textId="77777777" w:rsidR="008C220A" w:rsidRDefault="00D54C12">
            <w:pPr>
              <w:pStyle w:val="LO-normal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higiena pracy, samoopieka, superwizja i autorefleksja, </w:t>
            </w:r>
          </w:p>
          <w:p w14:paraId="3B5FD1F4" w14:textId="77777777" w:rsidR="008C220A" w:rsidRDefault="00D54C12">
            <w:pPr>
              <w:pStyle w:val="LO-normal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podsumowanie warsztatów: omówienie standardów etyczno-zawodowych w interwencji kryzysowej oraz konsultacje do projektu  (plan interwencji kryzysowej) + dyskusja porównawcza rozwiązań projektowych (case-based).</w:t>
            </w:r>
          </w:p>
        </w:tc>
      </w:tr>
      <w:tr w:rsidR="008C220A" w14:paraId="3B5FD1FB" w14:textId="77777777">
        <w:trPr>
          <w:trHeight w:val="704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F6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3B5FD1F7" w14:textId="77777777" w:rsidR="008C220A" w:rsidRDefault="00D54C12">
            <w:pPr>
              <w:pStyle w:val="LO-normal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Kubacka-Jasiecka, D.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Interwencja kryzysowa: pomoc w kryzysach psychologicznych.</w:t>
            </w:r>
            <w:r>
              <w:rPr>
                <w:rFonts w:ascii="Times New Roman" w:eastAsia="Times New Roman" w:hAnsi="Times New Roman" w:cs="Times New Roman"/>
              </w:rPr>
              <w:t xml:space="preserve"> Wydawnictwa Akademickie i Profesjonalne.</w:t>
            </w:r>
          </w:p>
          <w:p w14:paraId="3B5FD1F8" w14:textId="77777777" w:rsidR="008C220A" w:rsidRDefault="00D54C12">
            <w:pPr>
              <w:pStyle w:val="LO-normal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Kluczyńska, S., Czabała, J. C. (</w:t>
            </w:r>
            <w:r>
              <w:rPr>
                <w:rFonts w:ascii="Times New Roman" w:eastAsia="Times New Roman" w:hAnsi="Times New Roman" w:cs="Times New Roman"/>
              </w:rPr>
              <w:t>red</w:t>
            </w:r>
            <w:r>
              <w:rPr>
                <w:rFonts w:ascii="Times New Roman" w:eastAsia="Times New Roman" w:hAnsi="Times New Roman" w:cs="Times New Roman"/>
              </w:rPr>
              <w:t xml:space="preserve">.). (2021).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Interwencja kryzysowa: wybrane zagadnienia.</w:t>
            </w:r>
            <w:r>
              <w:rPr>
                <w:rFonts w:ascii="Times New Roman" w:eastAsia="Times New Roman" w:hAnsi="Times New Roman" w:cs="Times New Roman"/>
              </w:rPr>
              <w:t xml:space="preserve"> Wydawnictwo Akademii Pedagogiki Specjalnej im. Marii Grzegorzewskiej.</w:t>
            </w:r>
          </w:p>
          <w:p w14:paraId="3B5FD1F9" w14:textId="77777777" w:rsidR="008C220A" w:rsidRDefault="00D54C12">
            <w:pPr>
              <w:pStyle w:val="LO-normal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James, R. K., &amp; Gilliland, B. E. (2016).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Crisis intervention strategies </w:t>
            </w:r>
            <w:r>
              <w:rPr>
                <w:rFonts w:ascii="Times New Roman" w:eastAsia="Times New Roman" w:hAnsi="Times New Roman" w:cs="Times New Roman"/>
              </w:rPr>
              <w:t>(8th ed.). Cengage Learning.</w:t>
            </w:r>
          </w:p>
          <w:p w14:paraId="3B5FD1FA" w14:textId="77777777" w:rsidR="008C220A" w:rsidRDefault="00D54C12">
            <w:pPr>
              <w:pStyle w:val="LO-normal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Badura-Madej, W., &amp; Dobrzyńska-Mesterhazy, A. (2000).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Przemoc w rodzinie: interwencja kryzysowa i psychoterapia </w:t>
            </w:r>
            <w:r>
              <w:rPr>
                <w:rFonts w:ascii="Times New Roman" w:eastAsia="Times New Roman" w:hAnsi="Times New Roman" w:cs="Times New Roman"/>
              </w:rPr>
              <w:t>(Wyd. 2). Wydawnictwo Uniwersytetu Jagiellońskiego.</w:t>
            </w:r>
          </w:p>
        </w:tc>
      </w:tr>
      <w:tr w:rsidR="008C220A" w14:paraId="3B5FD1FF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1FC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3B5FD1FD" w14:textId="77777777" w:rsidR="008C220A" w:rsidRDefault="00D54C12">
            <w:pPr>
              <w:pStyle w:val="LO-normal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World Health Organization, War Trauma Foundation, &amp; World Vision International. (2011).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Psychological first aid: guide for field workers.</w:t>
            </w:r>
            <w:r>
              <w:rPr>
                <w:rFonts w:ascii="Times New Roman" w:eastAsia="Times New Roman" w:hAnsi="Times New Roman" w:cs="Times New Roman"/>
              </w:rPr>
              <w:t xml:space="preserve"> World Health Organization.</w:t>
            </w:r>
          </w:p>
          <w:p w14:paraId="3B5FD1FE" w14:textId="77777777" w:rsidR="008C220A" w:rsidRDefault="00D54C12">
            <w:pPr>
              <w:pStyle w:val="LO-normal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Everly, G. S., Jr., &amp; Lating, J. M. (2022).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The Johns Hopkins guide to psychological first aid </w:t>
            </w:r>
            <w:r>
              <w:rPr>
                <w:rFonts w:ascii="Times New Roman" w:eastAsia="Times New Roman" w:hAnsi="Times New Roman" w:cs="Times New Roman"/>
              </w:rPr>
              <w:t>(2nd ed.). Johns Hopkins University Press.</w:t>
            </w:r>
          </w:p>
        </w:tc>
      </w:tr>
      <w:tr w:rsidR="008C220A" w14:paraId="3B5FD204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00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3B5FD201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hAnsi="Times New Roman"/>
              </w:rPr>
              <w:t xml:space="preserve">ocena aktywności w ćwiczeniach warsztatowych (udział w analizie przypadków, jakość argumentacji, przestrzeganie zasad pracy i bezpieczeństwa psychologicznego). </w:t>
            </w:r>
          </w:p>
          <w:p w14:paraId="3B5FD202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F2 - </w:t>
            </w:r>
            <w:r>
              <w:rPr>
                <w:rFonts w:ascii="Times New Roman" w:hAnsi="Times New Roman"/>
              </w:rPr>
              <w:t xml:space="preserve">ocena zadań cząstkowych (karty pracy: analiza przypadku, mini-plan interwencji, refleksja nad dylematem etycznym) + informacja zwrotna prowadzącego i peer review. </w:t>
            </w:r>
          </w:p>
          <w:p w14:paraId="3B5FD203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</w:rPr>
              <w:t>pisemny projekt zaliczeniowy</w:t>
            </w:r>
          </w:p>
        </w:tc>
      </w:tr>
      <w:tr w:rsidR="008C220A" w14:paraId="3B5FD207" w14:textId="77777777">
        <w:trPr>
          <w:trHeight w:val="567"/>
          <w:jc w:val="center"/>
        </w:trPr>
        <w:tc>
          <w:tcPr>
            <w:tcW w:w="250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05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7382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06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</w:t>
            </w:r>
          </w:p>
        </w:tc>
      </w:tr>
      <w:tr w:rsidR="008C220A" w14:paraId="3B5FD214" w14:textId="77777777">
        <w:trPr>
          <w:trHeight w:val="567"/>
          <w:jc w:val="center"/>
        </w:trPr>
        <w:tc>
          <w:tcPr>
            <w:tcW w:w="250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08" w14:textId="77777777" w:rsidR="008C220A" w:rsidRDefault="00D54C12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</w:t>
            </w:r>
          </w:p>
        </w:tc>
        <w:tc>
          <w:tcPr>
            <w:tcW w:w="7382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09" w14:textId="77777777" w:rsidR="008C220A" w:rsidRDefault="00D54C12">
            <w:pPr>
              <w:pStyle w:val="LO-normal"/>
              <w:widowControl w:val="0"/>
              <w:numPr>
                <w:ilvl w:val="0"/>
                <w:numId w:val="13"/>
              </w:numPr>
              <w:tabs>
                <w:tab w:val="clear" w:pos="720"/>
                <w:tab w:val="left" w:pos="394"/>
              </w:tabs>
              <w:spacing w:after="0" w:line="240" w:lineRule="auto"/>
            </w:pPr>
            <w:r>
              <w:rPr>
                <w:rStyle w:val="Mocnewyrnione"/>
                <w:rFonts w:ascii="Times New Roman" w:eastAsia="Times New Roman" w:hAnsi="Times New Roman" w:cs="Times New Roman"/>
                <w:b w:val="0"/>
                <w:bCs w:val="0"/>
              </w:rPr>
              <w:t>Obecność:</w:t>
            </w:r>
            <w:r>
              <w:rPr>
                <w:rFonts w:ascii="Times New Roman" w:eastAsia="Times New Roman" w:hAnsi="Times New Roman" w:cs="Times New Roman"/>
              </w:rPr>
              <w:t xml:space="preserve"> minimum </w:t>
            </w:r>
            <w:r>
              <w:rPr>
                <w:rStyle w:val="Mocnewyrnione"/>
                <w:rFonts w:ascii="Times New Roman" w:eastAsia="Times New Roman" w:hAnsi="Times New Roman" w:cs="Times New Roman"/>
                <w:b w:val="0"/>
                <w:bCs w:val="0"/>
              </w:rPr>
              <w:t>80%</w:t>
            </w:r>
            <w:r>
              <w:rPr>
                <w:rFonts w:ascii="Times New Roman" w:eastAsia="Times New Roman" w:hAnsi="Times New Roman" w:cs="Times New Roman"/>
              </w:rPr>
              <w:t xml:space="preserve"> obecności na warsztatach. </w:t>
            </w:r>
          </w:p>
          <w:p w14:paraId="3B5FD20A" w14:textId="77777777" w:rsidR="008C220A" w:rsidRDefault="00D54C12">
            <w:pPr>
              <w:pStyle w:val="LO-normal"/>
              <w:widowControl w:val="0"/>
              <w:numPr>
                <w:ilvl w:val="0"/>
                <w:numId w:val="13"/>
              </w:numPr>
              <w:tabs>
                <w:tab w:val="clear" w:pos="720"/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Pisemny projekt zaliczeniowy: „Plan interwencji kryzysowej” dla studium przypadku (diagnoza sytuacji, priorytety, analiza ryzyka i zasobów, plan bezpieczeństwa, strategia stabilizacji i wsparcia, rekomendacje dalszej pomocy, współpraca instytucjonalna, uzasadnienie etyczno-zawodowe, krótka dokumentacja interwencji).</w:t>
            </w:r>
          </w:p>
          <w:p w14:paraId="3B5FD20B" w14:textId="77777777" w:rsidR="008C220A" w:rsidRDefault="00D54C12">
            <w:pPr>
              <w:widowControl w:val="0"/>
              <w:numPr>
                <w:ilvl w:val="0"/>
                <w:numId w:val="13"/>
              </w:numPr>
              <w:tabs>
                <w:tab w:val="clear" w:pos="720"/>
                <w:tab w:val="left" w:pos="394"/>
              </w:tabs>
              <w:spacing w:after="0" w:line="240" w:lineRule="auto"/>
              <w:rPr>
                <w:rFonts w:ascii="Times New Roman;serif" w:eastAsia="Times New Roman" w:hAnsi="Times New Roman;serif" w:cs="Times New Roman"/>
                <w:color w:val="000000"/>
              </w:rPr>
            </w:pPr>
            <w:bookmarkStart w:id="1" w:name="docs-internal-guid-c307e742-7fff-10c6-24"/>
            <w:bookmarkEnd w:id="1"/>
            <w:r>
              <w:rPr>
                <w:rFonts w:ascii="Times New Roman;serif" w:eastAsia="Times New Roman" w:hAnsi="Times New Roman;serif" w:cs="Times New Roman"/>
                <w:color w:val="000000"/>
              </w:rPr>
              <w:t>Praca oceniana jest według kryteriów: poprawność merytoryczna – 40%, trafność analizy i samodzielne wnioskowanie – 30%, uzasadnienie doboru strategii/technik/planów/rekomendacji– 20%, struktura, styl i poprawność językowa – 10%.</w:t>
            </w:r>
          </w:p>
          <w:p w14:paraId="3B5FD20C" w14:textId="77777777" w:rsidR="008C220A" w:rsidRDefault="008C220A">
            <w:pPr>
              <w:widowControl w:val="0"/>
              <w:tabs>
                <w:tab w:val="left" w:pos="394"/>
              </w:tabs>
              <w:spacing w:after="0" w:line="240" w:lineRule="auto"/>
              <w:ind w:left="720"/>
            </w:pPr>
          </w:p>
          <w:p w14:paraId="3B5FD20D" w14:textId="77777777" w:rsidR="008C220A" w:rsidRDefault="00D54C12">
            <w:pPr>
              <w:widowControl w:val="0"/>
              <w:tabs>
                <w:tab w:val="left" w:pos="394"/>
              </w:tabs>
              <w:spacing w:after="0" w:line="240" w:lineRule="auto"/>
              <w:ind w:left="720"/>
              <w:rPr>
                <w:rFonts w:ascii="Times New Roman;serif" w:eastAsia="Times New Roman" w:hAnsi="Times New Roman;serif" w:cs="Times New Roman"/>
                <w:color w:val="000000"/>
              </w:rPr>
            </w:pPr>
            <w:bookmarkStart w:id="2" w:name="docs-internal-guid-aa65be11-7fff-46f0-b5"/>
            <w:bookmarkEnd w:id="2"/>
            <w:r>
              <w:rPr>
                <w:rFonts w:ascii="Times New Roman;serif" w:eastAsia="Times New Roman" w:hAnsi="Times New Roman;serif" w:cs="Times New Roman"/>
                <w:color w:val="000000"/>
              </w:rPr>
              <w:t>Ocena końcowa wynika z procentowego wyniku uzyskanego za pracę: </w:t>
            </w:r>
          </w:p>
          <w:p w14:paraId="3B5FD20E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color w:val="000000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5,0 (91–100%), </w:t>
            </w:r>
          </w:p>
          <w:p w14:paraId="3B5FD20F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color w:val="000000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4,5 (81–90%), </w:t>
            </w:r>
          </w:p>
          <w:p w14:paraId="3B5FD210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color w:val="000000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4,0 (71–80%), </w:t>
            </w:r>
          </w:p>
          <w:p w14:paraId="3B5FD211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color w:val="000000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3,5 (61–70%), </w:t>
            </w:r>
          </w:p>
          <w:p w14:paraId="3B5FD212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color w:val="000000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3,0 (51–60%), </w:t>
            </w:r>
          </w:p>
          <w:p w14:paraId="3B5FD213" w14:textId="77777777" w:rsidR="008C220A" w:rsidRDefault="00D54C12">
            <w:pPr>
              <w:pStyle w:val="Tekstpodstawowy"/>
              <w:widowControl w:val="0"/>
              <w:numPr>
                <w:ilvl w:val="0"/>
                <w:numId w:val="14"/>
              </w:numPr>
              <w:tabs>
                <w:tab w:val="clear" w:pos="900"/>
                <w:tab w:val="left" w:pos="0"/>
                <w:tab w:val="left" w:pos="193"/>
              </w:tabs>
              <w:spacing w:line="331" w:lineRule="auto"/>
              <w:rPr>
                <w:rFonts w:ascii="Times New Roman;serif" w:hAnsi="Times New Roman;serif"/>
                <w:sz w:val="22"/>
              </w:rPr>
            </w:pPr>
            <w:r>
              <w:rPr>
                <w:rFonts w:ascii="Times New Roman;serif" w:hAnsi="Times New Roman;serif"/>
                <w:color w:val="000000"/>
                <w:sz w:val="22"/>
              </w:rPr>
              <w:t>2,0 (poniżej 51%).</w:t>
            </w:r>
          </w:p>
        </w:tc>
      </w:tr>
      <w:tr w:rsidR="008C220A" w14:paraId="3B5FD217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15" w14:textId="77777777" w:rsidR="008C220A" w:rsidRDefault="008C220A">
            <w:pPr>
              <w:pStyle w:val="LO-normal"/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5FD216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8C220A" w14:paraId="3B5FD21B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18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1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1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8C220A" w14:paraId="3B5FD220" w14:textId="77777777">
        <w:trPr>
          <w:trHeight w:val="546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1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1D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Analizuje i wyjaśnia złożone mechanizmy kryzysu psychologicznego (w tym rolę wydarzeń krytycznych, stresu, zasobów i kontekstu społecznego) oraz interpretuje ich znaczenie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dla projektowania pomocy.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1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K_W11</w:t>
            </w:r>
          </w:p>
          <w:p w14:paraId="3B5FD21F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K_W12</w:t>
            </w:r>
          </w:p>
        </w:tc>
      </w:tr>
      <w:tr w:rsidR="008C220A" w14:paraId="3B5FD224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1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2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pogłębioną wiedzę o modelach i zasadach interwencji kryzysowej (w tym pierwszej pomocy psychologicznej), rozumie cele interwencji krótkoterminowej oraz ograniczenia różnych strategii w zależności od typu kryzysu.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2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K_W12</w:t>
            </w:r>
          </w:p>
        </w:tc>
      </w:tr>
      <w:tr w:rsidR="008C220A" w14:paraId="3B5FD228" w14:textId="77777777">
        <w:trPr>
          <w:trHeight w:val="555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6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uporządkowaną wiedzę o standardach etyczno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noBreakHyphen/>
              <w:t>zawodowych w interwencji kryzysowej (poufność, dokumentacja, granice kompetencji, odpowiedzialność za skutki działań, współpraca interdyscyplinarna).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2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K_W17</w:t>
            </w:r>
          </w:p>
        </w:tc>
      </w:tr>
      <w:tr w:rsidR="008C220A" w14:paraId="3B5FD22D" w14:textId="77777777">
        <w:trPr>
          <w:trHeight w:val="555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2A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analizuje studium przypadku kryzysu, formułuje priorytety interwencyjne oraz projektuje strategię interwencji adekwatną do kontekstu i ryzyk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2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K_U18</w:t>
            </w:r>
          </w:p>
          <w:p w14:paraId="3B5FD22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</w:t>
            </w:r>
          </w:p>
        </w:tc>
      </w:tr>
      <w:tr w:rsidR="008C220A" w14:paraId="3B5FD231" w14:textId="77777777">
        <w:trPr>
          <w:trHeight w:val="555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2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14:paraId="3B5FD22F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Prowadzi symulowany wywiad kryzysowy i stosuje zaawansowane techniki komunikacji pomocowej (deeskalacja, porządkowanie informacji, wspieranie sprawczości), dostosowując język i formę kontaktu do sytuacji.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30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</w:tr>
      <w:tr w:rsidR="008C220A" w14:paraId="3B5FD236" w14:textId="77777777">
        <w:trPr>
          <w:trHeight w:val="555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3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33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Opracowuje plan bezpieczeństwa i dalszych działań (skierowania, sieć wsparcia, zalecenia) w sytuacjach podwyższonego ryzyka (np. suicydalność, przemoc, trauma), uzasadniając decyzje w sposób spójny i profesjonalny.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34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K_U18</w:t>
            </w:r>
          </w:p>
          <w:p w14:paraId="3B5FD235" w14:textId="77777777" w:rsidR="008C220A" w:rsidRDefault="008C220A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220A" w14:paraId="3B5FD23B" w14:textId="77777777">
        <w:trPr>
          <w:trHeight w:val="555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3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E4_U</w:t>
            </w:r>
          </w:p>
        </w:tc>
        <w:tc>
          <w:tcPr>
            <w:tcW w:w="6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38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Wyszukuje i krytycznie selekcjonuje literaturę oraz redaguje pisemny plan interwencji i krótką dokumentację przypadku zgodnie ze standardami metodycznymi i etycznymi.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3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  <w:p w14:paraId="3B5FD23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</w:tr>
      <w:tr w:rsidR="008C220A" w14:paraId="3B5FD240" w14:textId="77777777">
        <w:trPr>
          <w:trHeight w:val="555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3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14:paraId="3B5FD23D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gotów(-owa) do ponoszenia odpowiedzialności za działania interwencyjne, działa z zachowaniem etyki i profesjonalizmu, rozpoznaje granice kompetencji i korzysta z konsultacji/superwizji w sytuacjach wysokiego ryzyka.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3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K_K01</w:t>
            </w:r>
          </w:p>
          <w:p w14:paraId="3B5FD23F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</w:tr>
      <w:tr w:rsidR="008C220A" w14:paraId="3B5FD244" w14:textId="77777777">
        <w:trPr>
          <w:trHeight w:val="555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41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14:paraId="3B5FD242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gotów(-owa) do odpowiedzialnej komunikacji i współpracy (w tym interdyscyplinarnej) z instytucjami i osobami otoczenia społecznego w celu zapewnienia bezpieczeństwa i ciągłości wsparcia.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4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K_K10</w:t>
            </w:r>
          </w:p>
        </w:tc>
      </w:tr>
      <w:tr w:rsidR="008C220A" w14:paraId="3B5FD248" w14:textId="77777777">
        <w:trPr>
          <w:trHeight w:val="555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4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E3_K</w:t>
            </w:r>
          </w:p>
        </w:tc>
        <w:tc>
          <w:tcPr>
            <w:tcW w:w="609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14:paraId="3B5FD246" w14:textId="77777777" w:rsidR="008C220A" w:rsidRDefault="00D54C12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świadomy(-a) znaczenia zdrowia psychicznego w pracy interwencyjnej, dba o higienę pracy, redukuje ryzyko wtórnej traumatyzacji i przeciążenia oraz wspiera kulturę bezpieczeństwa psychologicznego w środowisku pracy.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24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K_K11</w:t>
            </w:r>
          </w:p>
        </w:tc>
      </w:tr>
      <w:tr w:rsidR="008C220A" w14:paraId="3B5FD24A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4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Tabela odniesień efektów uczenia się do celu kształcenia, treści nauczania, metod kształcenia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i sposobów oceny</w:t>
            </w:r>
          </w:p>
        </w:tc>
      </w:tr>
      <w:tr w:rsidR="008C220A" w14:paraId="3B5FD251" w14:textId="77777777">
        <w:trPr>
          <w:trHeight w:val="1638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4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4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4D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4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B5FD24F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50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8C220A" w14:paraId="3B5FD258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K_W11, K_W12 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4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5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1, 3, 6, 9 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256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Mk1, Mk2, Mk3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5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8C220A" w14:paraId="3B5FD25F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K_W12 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B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C3, C4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5C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2, 3, 4, 7 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25D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Mk1, Mk2, Mk3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5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8C220A" w14:paraId="3B5FD266" w14:textId="77777777">
        <w:trPr>
          <w:trHeight w:val="536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0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W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1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K_W17 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C5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1, 3, 10 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264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Mk2, Mk3, Mk6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6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F2 </w:t>
            </w:r>
          </w:p>
        </w:tc>
      </w:tr>
      <w:tr w:rsidR="008C220A" w14:paraId="3B5FD26D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_U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8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K_U18, K_U05 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C2, C3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3–9 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26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Mk3, Mk4, Mk6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6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F2 </w:t>
            </w:r>
          </w:p>
        </w:tc>
      </w:tr>
      <w:tr w:rsidR="008C220A" w14:paraId="3B5FD274" w14:textId="77777777">
        <w:trPr>
          <w:trHeight w:val="567"/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_U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6F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K_U19 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70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C4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271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2, 4–8, 10 </w:t>
            </w:r>
          </w:p>
        </w:tc>
        <w:tc>
          <w:tcPr>
            <w:tcW w:w="1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D27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Mk4, Mk5, Mk6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7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F1 </w:t>
            </w:r>
          </w:p>
        </w:tc>
      </w:tr>
      <w:tr w:rsidR="008C220A" w14:paraId="3B5FD27C" w14:textId="77777777">
        <w:trPr>
          <w:trHeight w:val="567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7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76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K_U18 </w:t>
            </w:r>
          </w:p>
          <w:p w14:paraId="3B5FD277" w14:textId="77777777" w:rsidR="008C220A" w:rsidRDefault="008C220A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78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C3, C5 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3B5FD279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4–6, 8–10 </w:t>
            </w:r>
          </w:p>
        </w:tc>
        <w:tc>
          <w:tcPr>
            <w:tcW w:w="193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7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Mk3, Mk4, Mk6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7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 </w:t>
            </w:r>
          </w:p>
        </w:tc>
      </w:tr>
      <w:tr w:rsidR="008C220A" w14:paraId="3B5FD283" w14:textId="77777777">
        <w:trPr>
          <w:trHeight w:val="567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7D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7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K_U04, K_U06 </w:t>
            </w: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7F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C2–C6 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3B5FD280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1–10 </w:t>
            </w:r>
          </w:p>
        </w:tc>
        <w:tc>
          <w:tcPr>
            <w:tcW w:w="193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81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Mk2, Mk6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8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F2 </w:t>
            </w:r>
          </w:p>
        </w:tc>
      </w:tr>
      <w:tr w:rsidR="008C220A" w14:paraId="3B5FD28A" w14:textId="77777777">
        <w:trPr>
          <w:trHeight w:val="567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84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8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K_K01, K_K02 </w:t>
            </w: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86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C5, C6 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3B5FD287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3–10 </w:t>
            </w:r>
          </w:p>
        </w:tc>
        <w:tc>
          <w:tcPr>
            <w:tcW w:w="193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88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Mk3, Mk4, Mk6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8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F1 </w:t>
            </w:r>
          </w:p>
        </w:tc>
      </w:tr>
      <w:tr w:rsidR="008C220A" w14:paraId="3B5FD291" w14:textId="77777777">
        <w:trPr>
          <w:trHeight w:val="567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8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8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K_K10 </w:t>
            </w: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8D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C5 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3B5FD28E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5, 8–10 </w:t>
            </w:r>
          </w:p>
        </w:tc>
        <w:tc>
          <w:tcPr>
            <w:tcW w:w="193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8F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Mk2, Mk4, Mk6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90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F2 </w:t>
            </w:r>
          </w:p>
        </w:tc>
      </w:tr>
      <w:tr w:rsidR="008C220A" w14:paraId="3B5FD298" w14:textId="77777777">
        <w:trPr>
          <w:trHeight w:val="567"/>
          <w:jc w:val="center"/>
        </w:trPr>
        <w:tc>
          <w:tcPr>
            <w:tcW w:w="1482" w:type="dxa"/>
            <w:tcBorders>
              <w:left w:val="single" w:sz="4" w:space="0" w:color="000000"/>
              <w:bottom w:val="single" w:sz="4" w:space="0" w:color="000000"/>
            </w:tcBorders>
          </w:tcPr>
          <w:p w14:paraId="3B5FD29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E3_K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9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K_K11 </w:t>
            </w: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B5FD294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C6 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3B5FD295" w14:textId="77777777" w:rsidR="008C220A" w:rsidRDefault="00D54C12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6, 9–10 </w:t>
            </w:r>
          </w:p>
        </w:tc>
        <w:tc>
          <w:tcPr>
            <w:tcW w:w="193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FD296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Mk2, Mk5, Mk6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9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P1, F2 </w:t>
            </w:r>
          </w:p>
        </w:tc>
      </w:tr>
      <w:tr w:rsidR="008C220A" w14:paraId="3B5FD29A" w14:textId="77777777">
        <w:trPr>
          <w:trHeight w:val="567"/>
          <w:jc w:val="center"/>
        </w:trPr>
        <w:tc>
          <w:tcPr>
            <w:tcW w:w="9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9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8C220A" w14:paraId="3B5FD29E" w14:textId="77777777">
        <w:trPr>
          <w:trHeight w:val="480"/>
          <w:jc w:val="center"/>
        </w:trPr>
        <w:tc>
          <w:tcPr>
            <w:tcW w:w="337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9B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4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9C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9D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8C220A" w14:paraId="3B5FD2A3" w14:textId="77777777">
        <w:trPr>
          <w:trHeight w:val="480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9F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A0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A1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5FD2A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8C220A" w14:paraId="3B5FD2A8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4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4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5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6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7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0A" w14:paraId="3B5FD2AD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9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A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B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C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0A" w14:paraId="3B5FD2B2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AF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0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1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8C220A" w14:paraId="3B5FD2B7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3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4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5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6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8C220A" w14:paraId="3B5FD2BC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8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9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A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B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8C220A" w14:paraId="3B5FD2C1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D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E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BF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0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8C220A" w14:paraId="3B5FD2C6" w14:textId="77777777">
        <w:trPr>
          <w:trHeight w:val="567"/>
          <w:jc w:val="center"/>
        </w:trPr>
        <w:tc>
          <w:tcPr>
            <w:tcW w:w="3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2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4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3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4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5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8C220A" w14:paraId="3B5FD2CB" w14:textId="77777777">
        <w:trPr>
          <w:trHeight w:val="567"/>
          <w:jc w:val="center"/>
        </w:trPr>
        <w:tc>
          <w:tcPr>
            <w:tcW w:w="337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7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8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9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A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C220A" w14:paraId="3B5FD2D0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C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D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E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CF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C220A" w14:paraId="3B5FD2D5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1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2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3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4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0A" w14:paraId="3B5FD2DA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6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7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8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9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C220A" w14:paraId="3B5FD2DF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B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C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D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DE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C220A" w14:paraId="3B5FD2E4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0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1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2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3" w14:textId="77777777" w:rsidR="008C220A" w:rsidRDefault="008C220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0A" w14:paraId="3B5FD2E9" w14:textId="77777777">
        <w:trPr>
          <w:trHeight w:val="567"/>
          <w:jc w:val="center"/>
        </w:trPr>
        <w:tc>
          <w:tcPr>
            <w:tcW w:w="33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5" w14:textId="77777777" w:rsidR="008C220A" w:rsidRDefault="008C220A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6" w14:textId="77777777" w:rsidR="008C220A" w:rsidRDefault="00D54C1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7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8" w14:textId="77777777" w:rsidR="008C220A" w:rsidRDefault="00D54C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8C220A" w14:paraId="3B5FD2ED" w14:textId="77777777">
        <w:trPr>
          <w:trHeight w:val="567"/>
          <w:jc w:val="center"/>
        </w:trPr>
        <w:tc>
          <w:tcPr>
            <w:tcW w:w="6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5FD2EA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B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C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  <w:tr w:rsidR="008C220A" w14:paraId="3B5FD2F0" w14:textId="77777777">
        <w:trPr>
          <w:trHeight w:val="567"/>
          <w:jc w:val="center"/>
        </w:trPr>
        <w:tc>
          <w:tcPr>
            <w:tcW w:w="6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5FD2EE" w14:textId="77777777" w:rsidR="008C220A" w:rsidRDefault="00D54C12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D2EF" w14:textId="77777777" w:rsidR="008C220A" w:rsidRDefault="00D54C12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14:paraId="3B5FD2F1" w14:textId="77777777" w:rsidR="008C220A" w:rsidRDefault="008C220A">
      <w:pPr>
        <w:pStyle w:val="LO-normal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3B5FD2F2" w14:textId="77777777" w:rsidR="008C220A" w:rsidRDefault="008C220A">
      <w:pPr>
        <w:pStyle w:val="LO-normal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8C22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7" w:bottom="1417" w:left="1417" w:header="0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BA3D" w14:textId="77777777" w:rsidR="00D54C12" w:rsidRDefault="00D54C12">
      <w:pPr>
        <w:spacing w:after="0" w:line="240" w:lineRule="auto"/>
      </w:pPr>
      <w:r>
        <w:separator/>
      </w:r>
    </w:p>
  </w:endnote>
  <w:endnote w:type="continuationSeparator" w:id="0">
    <w:p w14:paraId="131561D2" w14:textId="77777777" w:rsidR="00D54C12" w:rsidRDefault="00D54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" w:fontKey="{80D09CA3-6F66-A741-9A23-E6C0E39B802F}"/>
    <w:embedBold r:id="rId2" w:fontKey="{49DBBDA0-F23F-CC41-8B1B-F0DBE0BC2641}"/>
  </w:font>
  <w:font w:name="OpenSymbol">
    <w:panose1 w:val="020B0604020202020204"/>
    <w:charset w:val="01"/>
    <w:family w:val="auto"/>
    <w:pitch w:val="variable"/>
    <w:embedRegular r:id="rId3" w:fontKey="{3DE96017-7FB2-CC4C-9E20-1F540C6EF2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E5189B9-F5D6-8B40-AF0B-8E3B503D4FF0}"/>
    <w:embedBold r:id="rId5" w:fontKey="{FEE2D764-B133-7347-9BC8-44137267F4DF}"/>
    <w:embedItalic r:id="rId6" w:fontKey="{DBC2B7D4-45D9-4947-A156-1377BC46E6A6}"/>
    <w:embedBoldItalic r:id="rId7" w:fontKey="{6C1E8F53-5AC0-2049-871F-8AC50C50CDE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AC037F42-EA9E-6749-A8C3-E3E2D7BAE94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D13A6A0D-62B9-7940-8E53-B3C022B0450E}"/>
    <w:embedBold r:id="rId10" w:fontKey="{45365235-DACC-8E46-82C9-7278831B14BA}"/>
    <w:embedItalic r:id="rId11" w:fontKey="{8613E5A2-39DD-634D-B4B9-7DEBC7F6B75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B97B64F3-C9D8-C24B-BAC0-F1DE04FCE204}"/>
    <w:embedBold r:id="rId13" w:fontKey="{4F823C8D-34E0-244B-BE1C-9992477204BF}"/>
    <w:embedItalic r:id="rId14" w:fontKey="{87E4D5BD-49BE-5D49-8196-B127A3CBA42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5" w:fontKey="{7AD794BC-A947-C249-AC44-2C416753A1E5}"/>
    <w:embedBold r:id="rId16" w:fontKey="{5DA6FACF-B65E-6B47-A559-C809CD0CE11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7" w:fontKey="{4F5764E6-2E9C-DF46-B449-A6E08B1B6872}"/>
    <w:embedBold r:id="rId18" w:fontKey="{5144DD55-A17A-F64C-80D9-0C73D224416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9" w:fontKey="{16E4EFFE-461D-ED4B-BDC4-2E1533CAD8D1}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2" w:fontKey="{E816B114-735F-A34F-A4B5-3FDCBF4C85DE}"/>
  </w:font>
  <w:font w:name="Times New Roman;serif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4" w:fontKey="{BA3BE557-4CEE-B244-A287-D397EADAE5C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5" w:fontKey="{2A0C2CE8-F05B-8C45-A02F-E10B83B70E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7BEB" w14:textId="77777777" w:rsidR="00415376" w:rsidRDefault="004153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D2F5" w14:textId="77777777" w:rsidR="008C220A" w:rsidRDefault="00D54C12">
    <w:pPr>
      <w:pStyle w:val="LO-normal"/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3B5FD2F6" w14:textId="77777777" w:rsidR="008C220A" w:rsidRDefault="008C220A">
    <w:pPr>
      <w:pStyle w:val="LO-normal"/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8EBE" w14:textId="77777777" w:rsidR="00415376" w:rsidRDefault="004153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BB99" w14:textId="77777777" w:rsidR="00D54C12" w:rsidRDefault="00D54C12">
      <w:pPr>
        <w:spacing w:after="0" w:line="240" w:lineRule="auto"/>
      </w:pPr>
      <w:r>
        <w:separator/>
      </w:r>
    </w:p>
  </w:footnote>
  <w:footnote w:type="continuationSeparator" w:id="0">
    <w:p w14:paraId="4B7EBE76" w14:textId="77777777" w:rsidR="00D54C12" w:rsidRDefault="00D54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2C3A" w14:textId="77777777" w:rsidR="00415376" w:rsidRDefault="004153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43DD" w14:textId="77777777" w:rsidR="00415376" w:rsidRDefault="004153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A958" w14:textId="77777777" w:rsidR="00415376" w:rsidRDefault="004153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2D7F"/>
    <w:multiLevelType w:val="multilevel"/>
    <w:tmpl w:val="1F2A11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Book Antiqua" w:eastAsia="Book Antiqua" w:hAnsi="Book Antiqua" w:cs="Book Antiqua"/>
        <w:sz w:val="22"/>
        <w:szCs w:val="22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22B94DB0"/>
    <w:multiLevelType w:val="multilevel"/>
    <w:tmpl w:val="5A0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81A31CD"/>
    <w:multiLevelType w:val="multilevel"/>
    <w:tmpl w:val="647E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0EA4E7D"/>
    <w:multiLevelType w:val="multilevel"/>
    <w:tmpl w:val="CC58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30F977CD"/>
    <w:multiLevelType w:val="multilevel"/>
    <w:tmpl w:val="6F602F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D0A7444"/>
    <w:multiLevelType w:val="multilevel"/>
    <w:tmpl w:val="33A6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3930E41"/>
    <w:multiLevelType w:val="multilevel"/>
    <w:tmpl w:val="F0F0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DA874DE"/>
    <w:multiLevelType w:val="multilevel"/>
    <w:tmpl w:val="63CC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57007321"/>
    <w:multiLevelType w:val="multilevel"/>
    <w:tmpl w:val="00143CB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 w15:restartNumberingAfterBreak="0">
    <w:nsid w:val="60E9164C"/>
    <w:multiLevelType w:val="multilevel"/>
    <w:tmpl w:val="39E2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6297762D"/>
    <w:multiLevelType w:val="multilevel"/>
    <w:tmpl w:val="C746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65BF0C4C"/>
    <w:multiLevelType w:val="multilevel"/>
    <w:tmpl w:val="EF48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5F93F4B"/>
    <w:multiLevelType w:val="multilevel"/>
    <w:tmpl w:val="BF0A9E96"/>
    <w:lvl w:ilvl="0">
      <w:start w:val="1"/>
      <w:numFmt w:val="decimal"/>
      <w:pStyle w:val="CMSHeadL7"/>
      <w:lvlText w:val="%1."/>
      <w:lvlJc w:val="left"/>
      <w:pPr>
        <w:tabs>
          <w:tab w:val="num" w:pos="0"/>
        </w:tabs>
        <w:ind w:left="720" w:hanging="360"/>
      </w:pPr>
      <w:rPr>
        <w:rFonts w:ascii="Book Antiqua" w:eastAsia="Book Antiqua" w:hAnsi="Book Antiqua" w:cs="Book Antiqua"/>
        <w:sz w:val="22"/>
        <w:szCs w:val="22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3" w15:restartNumberingAfterBreak="0">
    <w:nsid w:val="6CE738E0"/>
    <w:multiLevelType w:val="multilevel"/>
    <w:tmpl w:val="2E2C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7CF64D21"/>
    <w:multiLevelType w:val="multilevel"/>
    <w:tmpl w:val="72D4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802389158">
    <w:abstractNumId w:val="12"/>
  </w:num>
  <w:num w:numId="2" w16cid:durableId="1955163074">
    <w:abstractNumId w:val="0"/>
  </w:num>
  <w:num w:numId="3" w16cid:durableId="191304414">
    <w:abstractNumId w:val="6"/>
  </w:num>
  <w:num w:numId="4" w16cid:durableId="1026905397">
    <w:abstractNumId w:val="3"/>
  </w:num>
  <w:num w:numId="5" w16cid:durableId="849563094">
    <w:abstractNumId w:val="10"/>
  </w:num>
  <w:num w:numId="6" w16cid:durableId="2126730163">
    <w:abstractNumId w:val="13"/>
  </w:num>
  <w:num w:numId="7" w16cid:durableId="1991130416">
    <w:abstractNumId w:val="14"/>
  </w:num>
  <w:num w:numId="8" w16cid:durableId="1022362941">
    <w:abstractNumId w:val="7"/>
  </w:num>
  <w:num w:numId="9" w16cid:durableId="132797004">
    <w:abstractNumId w:val="9"/>
  </w:num>
  <w:num w:numId="10" w16cid:durableId="369915354">
    <w:abstractNumId w:val="2"/>
  </w:num>
  <w:num w:numId="11" w16cid:durableId="1374771297">
    <w:abstractNumId w:val="1"/>
  </w:num>
  <w:num w:numId="12" w16cid:durableId="387071559">
    <w:abstractNumId w:val="11"/>
  </w:num>
  <w:num w:numId="13" w16cid:durableId="171264676">
    <w:abstractNumId w:val="5"/>
  </w:num>
  <w:num w:numId="14" w16cid:durableId="1505971357">
    <w:abstractNumId w:val="8"/>
  </w:num>
  <w:num w:numId="15" w16cid:durableId="1174563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20A"/>
    <w:rsid w:val="00415376"/>
    <w:rsid w:val="008C220A"/>
    <w:rsid w:val="0096533C"/>
    <w:rsid w:val="00D5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FD1A1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LO-normal"/>
    <w:next w:val="LO-normal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LO-normal"/>
    <w:next w:val="LO-normal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LO-normal"/>
    <w:next w:val="LO-normal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LO-normal"/>
    <w:next w:val="LO-normal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LO-normal"/>
    <w:next w:val="LO-normal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LO-normal"/>
    <w:next w:val="LO-normal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agwek"/>
    <w:qFormat/>
    <w:pPr>
      <w:keepNext/>
      <w:spacing w:before="240" w:after="120"/>
      <w:outlineLvl w:val="6"/>
    </w:pPr>
    <w:rPr>
      <w:b/>
      <w:bCs/>
      <w:sz w:val="28"/>
    </w:rPr>
  </w:style>
  <w:style w:type="paragraph" w:styleId="Nagwek8">
    <w:name w:val="heading 8"/>
    <w:basedOn w:val="Nagwek"/>
    <w:qFormat/>
    <w:pPr>
      <w:spacing w:before="240" w:after="60"/>
      <w:outlineLvl w:val="7"/>
    </w:pPr>
    <w:rPr>
      <w:i/>
      <w:iCs/>
    </w:rPr>
  </w:style>
  <w:style w:type="paragraph" w:styleId="Nagwek9">
    <w:name w:val="heading 9"/>
    <w:basedOn w:val="Nagwek"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qFormat/>
    <w:rPr>
      <w:rFonts w:ascii="Tahoma" w:hAnsi="Tahoma" w:cs="Tahoma"/>
    </w:rPr>
  </w:style>
  <w:style w:type="character" w:customStyle="1" w:styleId="WW8Num1z5">
    <w:name w:val="WW8Num1z5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Book Antiqua" w:hAnsi="Book Antiqua" w:cs="Book Antiqua"/>
      <w:bCs/>
      <w:sz w:val="22"/>
      <w:szCs w:val="22"/>
    </w:rPr>
  </w:style>
  <w:style w:type="character" w:customStyle="1" w:styleId="WW8Num4z0">
    <w:name w:val="WW8Num4z0"/>
    <w:qFormat/>
    <w:rPr>
      <w:rFonts w:ascii="Book Antiqua" w:hAnsi="Book Antiqua" w:cs="Book Antiqua"/>
      <w:bCs/>
      <w:sz w:val="22"/>
      <w:szCs w:val="22"/>
    </w:rPr>
  </w:style>
  <w:style w:type="character" w:customStyle="1" w:styleId="WW8Num5z0">
    <w:name w:val="WW8Num5z0"/>
    <w:qFormat/>
    <w:rPr>
      <w:b/>
    </w:rPr>
  </w:style>
  <w:style w:type="character" w:customStyle="1" w:styleId="Domylnaczcionkaakapitu2">
    <w:name w:val="Domyślna czcionka akapitu2"/>
    <w:qFormat/>
  </w:style>
  <w:style w:type="character" w:customStyle="1" w:styleId="WW8Num1z0">
    <w:name w:val="WW8Num1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b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Tahoma" w:hAnsi="Tahoma" w:cs="Tahoma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cs="Times New Roman"/>
      <w:b w:val="0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Book Antiqua" w:hAnsi="Book Antiqua" w:cs="Book Antiqua"/>
      <w:bCs/>
      <w:sz w:val="22"/>
      <w:szCs w:val="22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Book Antiqua" w:hAnsi="Book Antiqua" w:cs="Book Antiqua"/>
      <w:bCs/>
      <w:sz w:val="22"/>
      <w:szCs w:val="22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Domylnaczcionkaakapitu1">
    <w:name w:val="Domyślna czcionka akapitu1"/>
    <w:qFormat/>
  </w:style>
  <w:style w:type="character" w:customStyle="1" w:styleId="Nagwek1Znak">
    <w:name w:val="Nagłówek 1 Znak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qFormat/>
    <w:rPr>
      <w:rFonts w:ascii="Arial" w:eastAsia="Times New Roman" w:hAnsi="Arial" w:cs="Arial"/>
      <w:b/>
      <w:bCs/>
      <w:sz w:val="22"/>
      <w:szCs w:val="22"/>
      <w:lang w:val="x-none"/>
    </w:rPr>
  </w:style>
  <w:style w:type="character" w:customStyle="1" w:styleId="Nagwek3Znak">
    <w:name w:val="Nagłówek 3 Znak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qFormat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qFormat/>
    <w:rPr>
      <w:rFonts w:ascii="Times New Roman" w:eastAsia="Times New Roman" w:hAnsi="Times New Roman" w:cs="Times New Roman"/>
      <w:b/>
      <w:bCs/>
      <w:sz w:val="22"/>
      <w:szCs w:val="22"/>
      <w:lang w:val="x-none"/>
    </w:rPr>
  </w:style>
  <w:style w:type="character" w:customStyle="1" w:styleId="Nagwek7Znak">
    <w:name w:val="Nagłówek 7 Znak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qFormat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qFormat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qFormat/>
  </w:style>
  <w:style w:type="character" w:customStyle="1" w:styleId="TekstprzypisudolnegoZnak">
    <w:name w:val="Tekst przypisu dolnego Znak"/>
    <w:qFormat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rzypisukocowegoZnak">
    <w:name w:val="Tekst przypisu końcowego Znak"/>
    <w:qFormat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link w:val="Tekstkomentarza"/>
    <w:qFormat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qFormat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qFormat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Pr>
      <w:rFonts w:ascii="Verdana" w:hAnsi="Verdana" w:cs="Verdana"/>
      <w:color w:val="333366"/>
      <w:sz w:val="20"/>
      <w:szCs w:val="20"/>
    </w:rPr>
  </w:style>
  <w:style w:type="character" w:customStyle="1" w:styleId="Tekstpodstawowy3Znak">
    <w:name w:val="Tekst podstawowy 3 Znak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qFormat/>
    <w:rPr>
      <w:rFonts w:ascii="Courier New" w:eastAsia="Times New Roman" w:hAnsi="Courier New" w:cs="Courier New"/>
    </w:rPr>
  </w:style>
  <w:style w:type="character" w:customStyle="1" w:styleId="TytuZnak">
    <w:name w:val="Tytuł Znak"/>
    <w:qFormat/>
    <w:rPr>
      <w:rFonts w:ascii="Times New Roman" w:eastAsia="Times New Roman" w:hAnsi="Times New Roman" w:cs="Times New Roman"/>
      <w:b/>
      <w:sz w:val="28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qFormat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qFormat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h11">
    <w:name w:val="h11"/>
    <w:qFormat/>
    <w:rPr>
      <w:rFonts w:ascii="Verdana" w:hAnsi="Verdana" w:cs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treci2">
    <w:name w:val="Tekst treści (2)_"/>
    <w:qFormat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wrtext">
    <w:name w:val="wrtext"/>
    <w:qFormat/>
  </w:style>
  <w:style w:type="character" w:customStyle="1" w:styleId="h1">
    <w:name w:val="h1"/>
    <w:qFormat/>
  </w:style>
  <w:style w:type="character" w:customStyle="1" w:styleId="desc-o-mb-title">
    <w:name w:val="desc-o-mb-title"/>
    <w:qFormat/>
  </w:style>
  <w:style w:type="character" w:customStyle="1" w:styleId="Wyrnienie">
    <w:name w:val="Wyróżnienie"/>
    <w:uiPriority w:val="20"/>
    <w:qFormat/>
    <w:rPr>
      <w:i/>
      <w:iCs/>
    </w:rPr>
  </w:style>
  <w:style w:type="character" w:customStyle="1" w:styleId="desc-o-b-rest">
    <w:name w:val="desc-o-b-rest"/>
    <w:qFormat/>
  </w:style>
  <w:style w:type="character" w:customStyle="1" w:styleId="desc-o-publ">
    <w:name w:val="desc-o-publ"/>
    <w:qFormat/>
  </w:style>
  <w:style w:type="character" w:customStyle="1" w:styleId="Bodytext2">
    <w:name w:val="Body text (2)_"/>
    <w:qFormat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qFormat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vertAlign w:val="baseline"/>
      <w:lang w:val="pl-PL" w:bidi="pl-PL"/>
    </w:rPr>
  </w:style>
  <w:style w:type="character" w:customStyle="1" w:styleId="name">
    <w:name w:val="name"/>
    <w:basedOn w:val="Domylnaczcionkaakapitu1"/>
    <w:qFormat/>
  </w:style>
  <w:style w:type="character" w:customStyle="1" w:styleId="Bodytext2Bold">
    <w:name w:val="Body text (2) + Bold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odytext2BoldSpacing3pt">
    <w:name w:val="Body text (2) + Bold;Spacing 3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ezodstpwZnak">
    <w:name w:val="Bez odstępów Znak"/>
    <w:qFormat/>
    <w:rPr>
      <w:sz w:val="22"/>
      <w:szCs w:val="22"/>
      <w:lang w:bidi="ar-SA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E3FA1"/>
    <w:rPr>
      <w:rFonts w:ascii="Calibri" w:eastAsia="Calibri" w:hAnsi="Calibri" w:cs="Calibri"/>
      <w:lang w:eastAsia="zh-CN"/>
    </w:rPr>
  </w:style>
  <w:style w:type="character" w:styleId="Odwoaniedokomentarza">
    <w:name w:val="annotation reference"/>
    <w:semiHidden/>
    <w:qFormat/>
    <w:rsid w:val="009E3FA1"/>
    <w:rPr>
      <w:sz w:val="16"/>
      <w:szCs w:val="16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Gwkaistopka"/>
    <w:next w:val="Tekstpodstawowy"/>
    <w:pPr>
      <w:tabs>
        <w:tab w:val="clear" w:pos="4819"/>
        <w:tab w:val="clear" w:pos="9638"/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Lista">
    <w:name w:val="List"/>
    <w:basedOn w:val="Tekstpodstawowy"/>
    <w:pPr>
      <w:ind w:left="283" w:hanging="283"/>
    </w:pPr>
  </w:style>
  <w:style w:type="paragraph" w:styleId="Legenda">
    <w:name w:val="caption"/>
    <w:qFormat/>
    <w:pPr>
      <w:suppressLineNumbers/>
      <w:spacing w:before="120" w:after="120" w:line="276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Tytu">
    <w:name w:val="Title"/>
    <w:basedOn w:val="LO-normal"/>
    <w:next w:val="LO-normal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customStyle="1" w:styleId="Nagwek20">
    <w:name w:val="Nagłówek2"/>
    <w:next w:val="Tekstpodstawowy"/>
    <w:qFormat/>
    <w:pPr>
      <w:keepNext/>
      <w:spacing w:before="240" w:after="120" w:line="276" w:lineRule="auto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qFormat/>
    <w:pPr>
      <w:suppressLineNumbers/>
      <w:spacing w:before="120" w:after="120" w:line="276" w:lineRule="auto"/>
    </w:pPr>
    <w:rPr>
      <w:rFonts w:cs="Arial"/>
      <w:i/>
      <w:iCs/>
      <w:sz w:val="24"/>
      <w:szCs w:val="24"/>
    </w:rPr>
  </w:style>
  <w:style w:type="paragraph" w:customStyle="1" w:styleId="caption11">
    <w:name w:val="caption11"/>
    <w:qFormat/>
    <w:pPr>
      <w:suppressLineNumbers/>
      <w:spacing w:before="120" w:after="120" w:line="276" w:lineRule="auto"/>
    </w:pPr>
    <w:rPr>
      <w:rFonts w:cs="Arial"/>
      <w:i/>
      <w:iCs/>
      <w:sz w:val="24"/>
      <w:szCs w:val="24"/>
    </w:rPr>
  </w:style>
  <w:style w:type="paragraph" w:customStyle="1" w:styleId="Nagwek10">
    <w:name w:val="Nagłówek1"/>
    <w:next w:val="Tekstpodstawowy"/>
    <w:qFormat/>
    <w:pPr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Legenda1">
    <w:name w:val="Legenda1"/>
    <w:qFormat/>
    <w:pPr>
      <w:suppressLineNumbers/>
      <w:spacing w:before="120" w:after="120" w:line="276" w:lineRule="auto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  <w:pPr>
      <w:tabs>
        <w:tab w:val="clear" w:pos="4819"/>
        <w:tab w:val="clear" w:pos="9638"/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Tekstkomentarza1">
    <w:name w:val="Tekst komentarza1"/>
    <w:qFormat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qFormat/>
    <w:rPr>
      <w:rFonts w:ascii="Tahoma" w:eastAsia="Times New Roman" w:hAnsi="Tahoma" w:cs="Tahoma"/>
      <w:sz w:val="16"/>
      <w:szCs w:val="16"/>
      <w:lang w:val="x-none"/>
    </w:rPr>
  </w:style>
  <w:style w:type="paragraph" w:customStyle="1" w:styleId="Tekstpodstawowy22">
    <w:name w:val="Tekst podstawowy 22"/>
    <w:qFormat/>
    <w:pPr>
      <w:spacing w:line="360" w:lineRule="auto"/>
      <w:jc w:val="both"/>
    </w:pPr>
    <w:rPr>
      <w:rFonts w:ascii="Arial" w:eastAsia="Times New Roman" w:hAnsi="Arial" w:cs="Arial"/>
      <w:szCs w:val="24"/>
      <w:lang w:val="x-none"/>
    </w:rPr>
  </w:style>
  <w:style w:type="paragraph" w:styleId="Tekstpodstawowywcity">
    <w:name w:val="Body Text Indent"/>
    <w:basedOn w:val="Tekstpodstawowy"/>
    <w:pPr>
      <w:tabs>
        <w:tab w:val="clear" w:pos="900"/>
        <w:tab w:val="left" w:pos="180"/>
        <w:tab w:val="left" w:pos="540"/>
      </w:tabs>
      <w:spacing w:after="120" w:line="360" w:lineRule="auto"/>
      <w:ind w:left="540" w:hanging="180"/>
    </w:pPr>
    <w:rPr>
      <w:rFonts w:ascii="Arial" w:hAnsi="Arial" w:cs="Arial"/>
    </w:rPr>
  </w:style>
  <w:style w:type="paragraph" w:customStyle="1" w:styleId="Tekstpodstawowywcity31">
    <w:name w:val="Tekst podstawowy wcięty 31"/>
    <w:qFormat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x-none"/>
    </w:rPr>
  </w:style>
  <w:style w:type="paragraph" w:customStyle="1" w:styleId="Tekstpodstawowywcity21">
    <w:name w:val="Tekst podstawowy wcięty 21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BodyText22">
    <w:name w:val="Body Text 22"/>
    <w:qFormat/>
    <w:pPr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qFormat/>
    <w:pPr>
      <w:tabs>
        <w:tab w:val="left" w:pos="180"/>
      </w:tabs>
      <w:spacing w:after="120"/>
      <w:jc w:val="both"/>
    </w:pPr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paragraph" w:customStyle="1" w:styleId="Zwykytekst1">
    <w:name w:val="Zwykły tekst1"/>
    <w:qFormat/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font6">
    <w:name w:val="font6"/>
    <w:qFormat/>
    <w:pPr>
      <w:spacing w:before="100" w:after="100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BodyText31">
    <w:name w:val="Body Text 31"/>
    <w:qFormat/>
    <w:pPr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qFormat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qFormat/>
    <w:pPr>
      <w:spacing w:before="100" w:after="100"/>
      <w:jc w:val="center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Pisma">
    <w:name w:val="Pisma"/>
    <w:qFormat/>
    <w:pPr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Spistreci1">
    <w:name w:val="toc 1"/>
    <w:basedOn w:val="Indeks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Spistreci2">
    <w:name w:val="toc 2"/>
    <w:basedOn w:val="Indeks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Spistreci3">
    <w:name w:val="toc 3"/>
    <w:basedOn w:val="Indeks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Spistreci4">
    <w:name w:val="toc 4"/>
    <w:basedOn w:val="Indeks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5">
    <w:name w:val="toc 5"/>
    <w:basedOn w:val="Indeks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6">
    <w:name w:val="toc 6"/>
    <w:basedOn w:val="Indeks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7">
    <w:name w:val="toc 7"/>
    <w:basedOn w:val="Indeks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8">
    <w:name w:val="toc 8"/>
    <w:basedOn w:val="Indeks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9">
    <w:name w:val="toc 9"/>
    <w:basedOn w:val="Indeks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ytuowa1">
    <w:name w:val="Tytułowa 1"/>
    <w:basedOn w:val="Nagwek10"/>
    <w:qFormat/>
    <w:pPr>
      <w:spacing w:before="240" w:after="60" w:line="360" w:lineRule="auto"/>
    </w:pPr>
    <w:rPr>
      <w:rFonts w:ascii="Arial" w:hAnsi="Arial" w:cs="Arial"/>
      <w:bCs/>
      <w:kern w:val="2"/>
      <w:sz w:val="32"/>
      <w:szCs w:val="32"/>
    </w:rPr>
  </w:style>
  <w:style w:type="paragraph" w:customStyle="1" w:styleId="Listapunktowana22">
    <w:name w:val="Lista punktowana 22"/>
    <w:qFormat/>
    <w:pPr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32">
    <w:name w:val="Lista punktowana 32"/>
    <w:qFormat/>
    <w:pPr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1">
    <w:name w:val="Lista punktowana1"/>
    <w:qFormat/>
    <w:pPr>
      <w:tabs>
        <w:tab w:val="left" w:pos="360"/>
      </w:tabs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21">
    <w:name w:val="Lista punktowana 21"/>
    <w:qFormat/>
    <w:pPr>
      <w:tabs>
        <w:tab w:val="left" w:pos="643"/>
      </w:tabs>
      <w:ind w:left="643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31">
    <w:name w:val="Lista punktowana 31"/>
    <w:qFormat/>
    <w:pPr>
      <w:tabs>
        <w:tab w:val="left" w:pos="926"/>
      </w:tabs>
      <w:ind w:left="926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qFormat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qFormat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</w:rPr>
  </w:style>
  <w:style w:type="paragraph" w:customStyle="1" w:styleId="xl151">
    <w:name w:val="xl151"/>
    <w:qFormat/>
    <w:pPr>
      <w:spacing w:before="100" w:after="10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Tekst">
    <w:name w:val="Tekst"/>
    <w:basedOn w:val="Legenda"/>
    <w:qFormat/>
    <w:pPr>
      <w:spacing w:after="240" w:line="240" w:lineRule="auto"/>
      <w:ind w:firstLine="144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ust">
    <w:name w:val="ust"/>
    <w:qFormat/>
    <w:pPr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qFormat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0">
    <w:name w:val="tekst"/>
    <w:qFormat/>
    <w:pPr>
      <w:suppressLineNumbers/>
      <w:spacing w:before="60" w:after="6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nakZnakZnakZnak">
    <w:name w:val="Znak Znak Znak Zna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0">
    <w:name w:val="Tekst treści (2)"/>
    <w:qFormat/>
    <w:pPr>
      <w:widowControl w:val="0"/>
      <w:shd w:val="clear" w:color="auto" w:fill="FFFFFF"/>
      <w:spacing w:line="624" w:lineRule="exact"/>
      <w:jc w:val="center"/>
    </w:pPr>
    <w:rPr>
      <w:b/>
      <w:bCs/>
      <w:lang w:val="x-none"/>
    </w:rPr>
  </w:style>
  <w:style w:type="paragraph" w:styleId="Poprawka">
    <w:name w:val="Revision"/>
    <w:qFormat/>
    <w:pPr>
      <w:spacing w:after="200" w:line="276" w:lineRule="auto"/>
    </w:pPr>
    <w:rPr>
      <w:sz w:val="24"/>
      <w:szCs w:val="24"/>
    </w:rPr>
  </w:style>
  <w:style w:type="paragraph" w:customStyle="1" w:styleId="ZnakZnak">
    <w:name w:val="Znak Znak"/>
    <w:qFormat/>
    <w:pPr>
      <w:spacing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qFormat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qFormat/>
    <w:rPr>
      <w:rFonts w:ascii="EUAlbertina" w:hAnsi="EUAlbertina" w:cs="EUAlbertina"/>
      <w:sz w:val="24"/>
      <w:szCs w:val="24"/>
    </w:rPr>
  </w:style>
  <w:style w:type="paragraph" w:customStyle="1" w:styleId="CM3">
    <w:name w:val="CM3"/>
    <w:qFormat/>
    <w:rPr>
      <w:rFonts w:ascii="EUAlbertina" w:hAnsi="EUAlbertina" w:cs="EUAlbertina"/>
      <w:sz w:val="24"/>
      <w:szCs w:val="24"/>
    </w:rPr>
  </w:style>
  <w:style w:type="paragraph" w:customStyle="1" w:styleId="Default">
    <w:name w:val="Default"/>
    <w:qFormat/>
    <w:pPr>
      <w:spacing w:after="200" w:line="276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qFormat/>
    <w:pPr>
      <w:numPr>
        <w:numId w:val="1"/>
      </w:numPr>
      <w:spacing w:after="240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Akapitbezwcicia">
    <w:name w:val="Akapit bez wcięcia"/>
    <w:qFormat/>
    <w:pPr>
      <w:spacing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Akapitzlist1">
    <w:name w:val="Akapit z listą1"/>
    <w:qFormat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Bodytext20">
    <w:name w:val="Body text (2)"/>
    <w:qFormat/>
    <w:pPr>
      <w:widowControl w:val="0"/>
      <w:shd w:val="clear" w:color="auto" w:fill="FFFFFF"/>
      <w:spacing w:line="0" w:lineRule="atLeast"/>
    </w:pPr>
    <w:rPr>
      <w:b/>
      <w:bCs/>
      <w:sz w:val="16"/>
      <w:szCs w:val="16"/>
      <w:lang w:val="x-none"/>
    </w:rPr>
  </w:style>
  <w:style w:type="paragraph" w:customStyle="1" w:styleId="Bezodstpw1">
    <w:name w:val="Bez odstępów1"/>
    <w:qFormat/>
    <w:pPr>
      <w:spacing w:after="200" w:line="276" w:lineRule="auto"/>
    </w:pPr>
  </w:style>
  <w:style w:type="paragraph" w:customStyle="1" w:styleId="Tekstpodstawowy21">
    <w:name w:val="Tekst podstawowy 21"/>
    <w:qFormat/>
    <w:pPr>
      <w:spacing w:line="276" w:lineRule="auto"/>
      <w:jc w:val="center"/>
    </w:pPr>
    <w:rPr>
      <w:rFonts w:ascii="Times New Roman" w:hAnsi="Times New Roman" w:cs="Times New Roman"/>
      <w:b/>
      <w:bCs/>
    </w:rPr>
  </w:style>
  <w:style w:type="paragraph" w:styleId="Bezodstpw">
    <w:name w:val="No Spacing"/>
    <w:qFormat/>
    <w:pPr>
      <w:spacing w:after="200" w:line="276" w:lineRule="auto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komentarza">
    <w:name w:val="annotation text"/>
    <w:link w:val="TekstkomentarzaZnak"/>
    <w:semiHidden/>
    <w:qFormat/>
    <w:rsid w:val="009E3FA1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LO-normal"/>
    <w:next w:val="LO-normal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rpTwF+uAlxF7kgVYPW4jSGV4eGQ==">CgMxLjA4AHIhMWw2QVlWRXM4d2lDNEJLR3l3SkdzQUJBRUprQzlKdkNp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C6ABC6-2F60-4A03-A8B1-C07A0CD1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66BC32B-F649-4E6A-96E7-32230D6E4874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4.xml><?xml version="1.0" encoding="utf-8"?>
<ds:datastoreItem xmlns:ds="http://schemas.openxmlformats.org/officeDocument/2006/customXml" ds:itemID="{DD2C6D7B-71BE-482A-9A34-789475F62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1823</Words>
  <Characters>10944</Characters>
  <Application>Microsoft Office Word</Application>
  <DocSecurity>0</DocSecurity>
  <Lines>91</Lines>
  <Paragraphs>25</Paragraphs>
  <ScaleCrop>false</ScaleCrop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Daria Marzec</cp:lastModifiedBy>
  <cp:revision>18</cp:revision>
  <dcterms:created xsi:type="dcterms:W3CDTF">2026-02-24T10:35:00Z</dcterms:created>
  <dcterms:modified xsi:type="dcterms:W3CDTF">2026-04-09T09:29:00Z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