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6B93" w14:textId="77777777" w:rsidR="00D568CB" w:rsidRDefault="00AD342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F526253" wp14:editId="3692D695">
            <wp:simplePos x="0" y="0"/>
            <wp:positionH relativeFrom="column">
              <wp:posOffset>-404493</wp:posOffset>
            </wp:positionH>
            <wp:positionV relativeFrom="paragraph">
              <wp:posOffset>26034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69BD8B" w14:textId="77777777" w:rsidR="00D568CB" w:rsidRDefault="00D568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W w:w="90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3"/>
        <w:gridCol w:w="1227"/>
        <w:gridCol w:w="361"/>
        <w:gridCol w:w="1010"/>
        <w:gridCol w:w="821"/>
        <w:gridCol w:w="821"/>
        <w:gridCol w:w="360"/>
        <w:gridCol w:w="410"/>
        <w:gridCol w:w="874"/>
        <w:gridCol w:w="360"/>
        <w:gridCol w:w="792"/>
        <w:gridCol w:w="792"/>
      </w:tblGrid>
      <w:tr w:rsidR="00D568CB" w14:paraId="79255F7D" w14:textId="77777777">
        <w:trPr>
          <w:trHeight w:val="723"/>
          <w:jc w:val="center"/>
        </w:trPr>
        <w:tc>
          <w:tcPr>
            <w:tcW w:w="9068" w:type="dxa"/>
            <w:gridSpan w:val="1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A9960DA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D568CB" w14:paraId="3E24EA08" w14:textId="77777777">
        <w:trPr>
          <w:trHeight w:val="567"/>
          <w:jc w:val="center"/>
        </w:trPr>
        <w:tc>
          <w:tcPr>
            <w:tcW w:w="9068" w:type="dxa"/>
            <w:gridSpan w:val="12"/>
            <w:shd w:val="clear" w:color="auto" w:fill="FFFFFF"/>
            <w:vAlign w:val="center"/>
          </w:tcPr>
          <w:p w14:paraId="29CD2583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społecznych; dyscyplina: Psychologia</w:t>
            </w:r>
          </w:p>
        </w:tc>
      </w:tr>
      <w:tr w:rsidR="00D568CB" w14:paraId="02BBC344" w14:textId="77777777">
        <w:trPr>
          <w:trHeight w:val="567"/>
          <w:jc w:val="center"/>
        </w:trPr>
        <w:tc>
          <w:tcPr>
            <w:tcW w:w="2468" w:type="dxa"/>
            <w:gridSpan w:val="2"/>
            <w:vAlign w:val="center"/>
          </w:tcPr>
          <w:p w14:paraId="29330DC6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Rodzaj przedmiotu: </w:t>
            </w:r>
          </w:p>
        </w:tc>
        <w:tc>
          <w:tcPr>
            <w:tcW w:w="6600" w:type="dxa"/>
            <w:gridSpan w:val="10"/>
            <w:vAlign w:val="center"/>
          </w:tcPr>
          <w:p w14:paraId="26A428BE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Warsztat</w:t>
            </w:r>
          </w:p>
        </w:tc>
      </w:tr>
      <w:tr w:rsidR="00D568CB" w14:paraId="172741D7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783EAAB1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Prowadzący: </w:t>
            </w:r>
          </w:p>
        </w:tc>
      </w:tr>
      <w:tr w:rsidR="00D568CB" w14:paraId="4E6D3F0F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5815911F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D568CB" w14:paraId="681805A0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5018F266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D568CB" w14:paraId="458D0068" w14:textId="77777777">
        <w:trPr>
          <w:trHeight w:val="567"/>
          <w:jc w:val="center"/>
        </w:trPr>
        <w:tc>
          <w:tcPr>
            <w:tcW w:w="9068" w:type="dxa"/>
            <w:gridSpan w:val="12"/>
            <w:tcBorders>
              <w:bottom w:val="single" w:sz="4" w:space="0" w:color="000000"/>
            </w:tcBorders>
            <w:vAlign w:val="center"/>
          </w:tcPr>
          <w:p w14:paraId="7C9CAB68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21689E48" w14:textId="77777777" w:rsidR="00D568CB" w:rsidRDefault="00AD342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D568CB" w14:paraId="5EFEB715" w14:textId="77777777">
        <w:trPr>
          <w:trHeight w:val="567"/>
          <w:jc w:val="center"/>
        </w:trPr>
        <w:tc>
          <w:tcPr>
            <w:tcW w:w="9068" w:type="dxa"/>
            <w:gridSpan w:val="1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4D555DDD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Nazwa przedmiotu kształcenia: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Psychologia Stresu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D568CB" w14:paraId="518A83ED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6CC28BA0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7E7361A6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</w:rPr>
              <w:t>Pogłębienie wiedzy dotyczącej psychofizjologicznych mechanizmów stresu oraz współczesnych modeli teoretycznych wyjaśniających reakcje stresowe i odporność psychiczną, wraz z analizą metod pomiaru stresu i radzenia sobie ze stresem.</w:t>
            </w:r>
          </w:p>
          <w:p w14:paraId="2B76062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Rozwijanie umiejętności konceptualizacji procesu radzenia sobie ze stresem oraz doboru i stosowania adekwatnych metod interwencji psychologicznych z uwzględnieniem wyników pomiaru stresu i różnic indywidualnych.</w:t>
            </w:r>
          </w:p>
          <w:p w14:paraId="69D5FE5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</w:rPr>
              <w:t>Kształtowanie kompetencji w zakresie krytycznej analizy badań empirycznych oraz oceny skuteczności strategii redukcji stresu i regulacji emocji, z uwzględnieniem zasad etyki zawodowej i odpowiedzialności psychologa.</w:t>
            </w:r>
          </w:p>
        </w:tc>
      </w:tr>
      <w:tr w:rsidR="00D568CB" w14:paraId="31BC0AEB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49F409C4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Book Antiqua" w:eastAsia="Book Antiqua" w:hAnsi="Book Antiqua" w:cs="Book Antiqua"/>
                <w:b/>
                <w:bCs/>
              </w:rPr>
              <w:t>P</w:t>
            </w:r>
            <w:r>
              <w:rPr>
                <w:rFonts w:ascii="Book Antiqua" w:eastAsia="Book Antiqua" w:hAnsi="Book Antiqua" w:cs="Book Antiqua"/>
              </w:rPr>
              <w:t>sychologia kliniczna, Psychologia ogólna: emocje i motywacje.</w:t>
            </w:r>
          </w:p>
          <w:p w14:paraId="322788E8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06429F30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15FB9CA9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kompetencji: </w:t>
            </w:r>
            <w:r>
              <w:rPr>
                <w:rFonts w:ascii="Book Antiqua" w:eastAsia="Book Antiqua" w:hAnsi="Book Antiqua" w:cs="Book Antiqua"/>
                <w:b/>
                <w:bCs/>
              </w:rPr>
              <w:t xml:space="preserve"> </w:t>
            </w:r>
            <w:r>
              <w:rPr>
                <w:rFonts w:ascii="Book Antiqua" w:eastAsia="Book Antiqua" w:hAnsi="Book Antiqua" w:cs="Book Antiqua"/>
              </w:rPr>
              <w:t>Student</w:t>
            </w:r>
            <w:proofErr w:type="gramEnd"/>
            <w:r>
              <w:rPr>
                <w:rFonts w:ascii="Book Antiqua" w:eastAsia="Book Antiqua" w:hAnsi="Book Antiqua" w:cs="Book Antiqua"/>
              </w:rPr>
              <w:t xml:space="preserve"> powinien posiadać podstawową wiedzę z obszarów psychologii klinicznej i psychologii emocji oraz wykazywać gotowość do pracy warsztatowej w zgodzie z zasadami etyki.</w:t>
            </w:r>
          </w:p>
          <w:p w14:paraId="70B5B737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568CB" w14:paraId="5317D83D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44E19E9F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1E8F1DB8" w14:textId="77777777" w:rsidR="00D568CB" w:rsidRDefault="00AD3426">
            <w:p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 xml:space="preserve">Mk1 </w:t>
            </w:r>
            <w:r>
              <w:rPr>
                <w:rFonts w:ascii="Book Antiqua" w:eastAsia="Book Antiqua" w:hAnsi="Book Antiqua" w:cs="Book Antiqua"/>
              </w:rPr>
              <w:t xml:space="preserve">Dyskusja </w:t>
            </w:r>
          </w:p>
          <w:p w14:paraId="7373DB28" w14:textId="77777777" w:rsidR="00D568CB" w:rsidRDefault="00AD3426">
            <w:p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Mk2</w:t>
            </w:r>
            <w:r>
              <w:rPr>
                <w:rFonts w:ascii="Book Antiqua" w:eastAsia="Book Antiqua" w:hAnsi="Book Antiqua" w:cs="Book Antiqua"/>
              </w:rPr>
              <w:t xml:space="preserve"> Analiza literatury przedmiotu</w:t>
            </w:r>
          </w:p>
          <w:p w14:paraId="3EAB7A07" w14:textId="77777777" w:rsidR="00D568CB" w:rsidRDefault="00AD3426">
            <w:p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Mk3</w:t>
            </w:r>
            <w:r>
              <w:rPr>
                <w:rFonts w:ascii="Book Antiqua" w:eastAsia="Book Antiqua" w:hAnsi="Book Antiqua" w:cs="Book Antiqua"/>
              </w:rPr>
              <w:t xml:space="preserve"> Laboratoria (analiza technik diagnostycznych, praca w grupach, </w:t>
            </w:r>
            <w:proofErr w:type="spellStart"/>
            <w:r>
              <w:rPr>
                <w:rFonts w:ascii="Book Antiqua" w:eastAsia="Book Antiqua" w:hAnsi="Book Antiqua" w:cs="Book Antiqua"/>
              </w:rPr>
              <w:t>case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study</w:t>
            </w:r>
            <w:proofErr w:type="spellEnd"/>
            <w:r>
              <w:rPr>
                <w:rFonts w:ascii="Book Antiqua" w:eastAsia="Book Antiqua" w:hAnsi="Book Antiqua" w:cs="Book Antiqua"/>
              </w:rPr>
              <w:t>)</w:t>
            </w:r>
          </w:p>
          <w:p w14:paraId="537538FB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568CB" w14:paraId="0EFD7FA9" w14:textId="77777777">
        <w:trPr>
          <w:trHeight w:val="273"/>
          <w:jc w:val="center"/>
        </w:trPr>
        <w:tc>
          <w:tcPr>
            <w:tcW w:w="9068" w:type="dxa"/>
            <w:gridSpan w:val="12"/>
            <w:shd w:val="clear" w:color="auto" w:fill="DBE5F1"/>
            <w:vAlign w:val="center"/>
          </w:tcPr>
          <w:p w14:paraId="54CF7AF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36AC6723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60D5D41A" w14:textId="77777777">
        <w:trPr>
          <w:trHeight w:val="1410"/>
          <w:jc w:val="center"/>
        </w:trPr>
        <w:tc>
          <w:tcPr>
            <w:tcW w:w="9068" w:type="dxa"/>
            <w:gridSpan w:val="12"/>
          </w:tcPr>
          <w:p w14:paraId="2E1736FC" w14:textId="77777777" w:rsidR="00D568CB" w:rsidRDefault="00AD3426" w:rsidP="00106411">
            <w:p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lastRenderedPageBreak/>
              <w:t>Warsztat:</w:t>
            </w:r>
          </w:p>
          <w:p w14:paraId="4BA52B0D" w14:textId="77777777" w:rsidR="00D568CB" w:rsidRDefault="00AD3426" w:rsidP="00106411">
            <w:pPr>
              <w:numPr>
                <w:ilvl w:val="0"/>
                <w:numId w:val="5"/>
              </w:num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Podstawy psychologii stresu</w:t>
            </w:r>
          </w:p>
          <w:p w14:paraId="1A7172D5" w14:textId="77777777" w:rsidR="00D568CB" w:rsidRDefault="00AD3426" w:rsidP="00106411">
            <w:p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Stres w perspektywie biologicznej, psychologicznej i społecznej na przykładzie Teorii Zachowania Zasobów </w:t>
            </w:r>
            <w:proofErr w:type="spellStart"/>
            <w:r>
              <w:rPr>
                <w:rFonts w:ascii="Book Antiqua" w:eastAsia="Book Antiqua" w:hAnsi="Book Antiqua" w:cs="Book Antiqua"/>
              </w:rPr>
              <w:t>Hobfola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oraz Ogólnego Zespołu Adaptacyjnego </w:t>
            </w:r>
            <w:proofErr w:type="spellStart"/>
            <w:r>
              <w:rPr>
                <w:rFonts w:ascii="Book Antiqua" w:eastAsia="Book Antiqua" w:hAnsi="Book Antiqua" w:cs="Book Antiqua"/>
              </w:rPr>
              <w:t>Selye’ego</w:t>
            </w:r>
            <w:proofErr w:type="spellEnd"/>
            <w:r>
              <w:rPr>
                <w:rFonts w:ascii="Book Antiqua" w:eastAsia="Book Antiqua" w:hAnsi="Book Antiqua" w:cs="Book Antiqua"/>
              </w:rPr>
              <w:t>. Analiza funkcji stresu, jego kosztów i konsekwencji. Omówienie wyników badań nad skutkami chronicznego obciążenia oraz sposobów pomiaru stresu, wykorzystując DASS-21 oraz Skalę Odczuwanego Stresu PSS-10.</w:t>
            </w:r>
          </w:p>
          <w:p w14:paraId="0D4F1871" w14:textId="77777777" w:rsidR="00D568CB" w:rsidRDefault="00AD3426" w:rsidP="00106411">
            <w:pPr>
              <w:numPr>
                <w:ilvl w:val="0"/>
                <w:numId w:val="5"/>
              </w:num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Źródła stresu i znaczenie oceny poznawczej</w:t>
            </w:r>
          </w:p>
          <w:p w14:paraId="2E697055" w14:textId="77777777" w:rsidR="00D568CB" w:rsidRDefault="00AD3426" w:rsidP="00106411">
            <w:p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Rola interpretacji sytuacji w powstawaniu stresu na przykładzie transakcyjnej teorii stresu i radzenia sobie </w:t>
            </w:r>
            <w:proofErr w:type="spellStart"/>
            <w:r>
              <w:rPr>
                <w:rFonts w:ascii="Book Antiqua" w:eastAsia="Book Antiqua" w:hAnsi="Book Antiqua" w:cs="Book Antiqua"/>
              </w:rPr>
              <w:t>Lazarusa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i </w:t>
            </w:r>
            <w:proofErr w:type="spellStart"/>
            <w:r>
              <w:rPr>
                <w:rFonts w:ascii="Book Antiqua" w:eastAsia="Book Antiqua" w:hAnsi="Book Antiqua" w:cs="Book Antiqua"/>
              </w:rPr>
              <w:t>Folkman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Czynniki nasilające lub zmniejszające obciążenie: cechy sytuacji, zasoby osobiste, umiejętności regulacyjne i predyspozycje. </w:t>
            </w:r>
          </w:p>
          <w:p w14:paraId="1E073915" w14:textId="77777777" w:rsidR="00D568CB" w:rsidRDefault="00AD3426" w:rsidP="00106411">
            <w:pPr>
              <w:numPr>
                <w:ilvl w:val="0"/>
                <w:numId w:val="5"/>
              </w:num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Strategie oparte na działaniu w radzeniu sobie ze stresem</w:t>
            </w:r>
          </w:p>
          <w:p w14:paraId="1625AA0E" w14:textId="77777777" w:rsidR="00D568CB" w:rsidRDefault="00AD3426" w:rsidP="00106411">
            <w:p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Strategie reagowania ukierunkowane na podejmowanie działań, planowanie i organizowanie zachowania w sytuacjach obciążających. Praca nad sposobami aktywnego wpływania na sytuację i budowania poczucia sprawczości.</w:t>
            </w:r>
          </w:p>
          <w:p w14:paraId="3DF9A33E" w14:textId="77777777" w:rsidR="00D568CB" w:rsidRDefault="00AD3426" w:rsidP="00106411">
            <w:pPr>
              <w:numPr>
                <w:ilvl w:val="0"/>
                <w:numId w:val="5"/>
              </w:num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Strategie oparte na emocjach w radzeniu sobie ze stresem i pomiar radzenia sobie</w:t>
            </w:r>
          </w:p>
          <w:p w14:paraId="2CF8584B" w14:textId="77777777" w:rsidR="00D568CB" w:rsidRDefault="00AD3426" w:rsidP="00106411">
            <w:p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Strategie regulowania emocjonalnej reaktywności, redukowania napięcia oraz wspierania adaptacyjnych sposobów przeżywania sytuacji trudnych. Praca nad elastycznością emocjonalną i zrozumieniem własnych emocjonalnych stylów reagowania. Diagnoza stylów radzenia sobie poprzez COPE i Mini-COPE.</w:t>
            </w:r>
          </w:p>
          <w:p w14:paraId="4E5FF5C2" w14:textId="77777777" w:rsidR="00D568CB" w:rsidRDefault="00AD3426" w:rsidP="00106411">
            <w:pPr>
              <w:numPr>
                <w:ilvl w:val="0"/>
                <w:numId w:val="5"/>
              </w:num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Przegląd treningów radzenia sobie ze stresem</w:t>
            </w:r>
          </w:p>
          <w:p w14:paraId="5263FC60" w14:textId="77777777" w:rsidR="00D568CB" w:rsidRDefault="00AD3426" w:rsidP="00106411">
            <w:pPr>
              <w:ind w:left="0" w:hanging="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ook Antiqua" w:eastAsia="Book Antiqua" w:hAnsi="Book Antiqua" w:cs="Book Antiqua"/>
              </w:rPr>
              <w:t xml:space="preserve">Różnica między pojedynczą interwencją a programem szkoleniowym. Planowanie oddziaływania w oparciu o dowody naukowe. Przykłady dobrych praktyk oraz omówienie metod terapeutycznych w redukcji stresu, w tym m.in. treningu autogennego, treningu relaksacji Jacobsona, </w:t>
            </w:r>
            <w:proofErr w:type="spellStart"/>
            <w:r>
              <w:rPr>
                <w:rFonts w:ascii="Book Antiqua" w:eastAsia="Book Antiqua" w:hAnsi="Book Antiqua" w:cs="Book Antiqua"/>
              </w:rPr>
              <w:t>mindfulness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oraz </w:t>
            </w:r>
            <w:proofErr w:type="spellStart"/>
            <w:r>
              <w:rPr>
                <w:rFonts w:ascii="Book Antiqua" w:eastAsia="Book Antiqua" w:hAnsi="Book Antiqua" w:cs="Book Antiqua"/>
              </w:rPr>
              <w:t>biofeedbacku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oddechowego/HRV. Ćwiczenia, praca grupowa i prezentacja.</w:t>
            </w:r>
          </w:p>
        </w:tc>
      </w:tr>
      <w:tr w:rsidR="00D568CB" w14:paraId="62C6F296" w14:textId="77777777">
        <w:trPr>
          <w:trHeight w:val="1118"/>
          <w:jc w:val="center"/>
        </w:trPr>
        <w:tc>
          <w:tcPr>
            <w:tcW w:w="9068" w:type="dxa"/>
            <w:gridSpan w:val="12"/>
          </w:tcPr>
          <w:p w14:paraId="0636D280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Literatura podstawowa:</w:t>
            </w:r>
          </w:p>
          <w:p w14:paraId="00361EF1" w14:textId="77777777" w:rsidR="00D568CB" w:rsidRDefault="00AD3426" w:rsidP="00106411">
            <w:pPr>
              <w:numPr>
                <w:ilvl w:val="0"/>
                <w:numId w:val="6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proofErr w:type="spellStart"/>
            <w:r>
              <w:rPr>
                <w:rFonts w:ascii="Book Antiqua" w:eastAsia="Book Antiqua" w:hAnsi="Book Antiqua" w:cs="Book Antiqua"/>
              </w:rPr>
              <w:t>Heszen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I. (2016). </w:t>
            </w:r>
            <w:r>
              <w:rPr>
                <w:rFonts w:ascii="Book Antiqua" w:eastAsia="Book Antiqua" w:hAnsi="Book Antiqua" w:cs="Book Antiqua"/>
                <w:i/>
                <w:iCs/>
              </w:rPr>
              <w:t>Psychologia stresu: Korzystne i niekorzystne skutki stresu życiowego</w:t>
            </w:r>
            <w:r>
              <w:rPr>
                <w:rFonts w:ascii="Book Antiqua" w:eastAsia="Book Antiqua" w:hAnsi="Book Antiqua" w:cs="Book Antiqua"/>
              </w:rPr>
              <w:t>. Wydawnictwo Naukowe PWN.</w:t>
            </w:r>
          </w:p>
          <w:p w14:paraId="374DBDFF" w14:textId="77777777" w:rsidR="00D568CB" w:rsidRDefault="00AD3426" w:rsidP="00106411">
            <w:pPr>
              <w:numPr>
                <w:ilvl w:val="0"/>
                <w:numId w:val="6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proofErr w:type="spellStart"/>
            <w:r>
              <w:rPr>
                <w:rFonts w:ascii="Book Antiqua" w:eastAsia="Book Antiqua" w:hAnsi="Book Antiqua" w:cs="Book Antiqua"/>
              </w:rPr>
              <w:t>Juczyński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Z., Ogińska-Bulik, N. (2009). </w:t>
            </w:r>
            <w:r>
              <w:rPr>
                <w:rFonts w:ascii="Book Antiqua" w:eastAsia="Book Antiqua" w:hAnsi="Book Antiqua" w:cs="Book Antiqua"/>
                <w:i/>
                <w:iCs/>
              </w:rPr>
              <w:t>Narzędzia pomiaru stresu i radzenia sobie ze stresem</w:t>
            </w:r>
            <w:r>
              <w:rPr>
                <w:rFonts w:ascii="Book Antiqua" w:eastAsia="Book Antiqua" w:hAnsi="Book Antiqua" w:cs="Book Antiqua"/>
              </w:rPr>
              <w:t>. Pracownia Testów Psychologicznych.</w:t>
            </w:r>
          </w:p>
          <w:p w14:paraId="3C7EAD31" w14:textId="77777777" w:rsidR="00D568CB" w:rsidRDefault="00AD3426" w:rsidP="00106411">
            <w:pPr>
              <w:numPr>
                <w:ilvl w:val="0"/>
                <w:numId w:val="6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Makara-Studzińska, M., Tyburski, E., Załuski, M., Adamczyk, K., </w:t>
            </w:r>
            <w:proofErr w:type="spellStart"/>
            <w:r>
              <w:rPr>
                <w:rFonts w:ascii="Book Antiqua" w:eastAsia="Book Antiqua" w:hAnsi="Book Antiqua" w:cs="Book Antiqua"/>
              </w:rPr>
              <w:t>Mesterhazy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J., </w:t>
            </w:r>
            <w:proofErr w:type="spellStart"/>
            <w:r>
              <w:rPr>
                <w:rFonts w:ascii="Book Antiqua" w:eastAsia="Book Antiqua" w:hAnsi="Book Antiqua" w:cs="Book Antiqua"/>
              </w:rPr>
              <w:t>Mesterhazy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A. (2022). </w:t>
            </w:r>
            <w:proofErr w:type="spellStart"/>
            <w:r>
              <w:rPr>
                <w:rFonts w:ascii="Book Antiqua" w:eastAsia="Book Antiqua" w:hAnsi="Book Antiqua" w:cs="Book Antiqua"/>
              </w:rPr>
              <w:t>Confirmatory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factor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analysis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of </w:t>
            </w:r>
            <w:proofErr w:type="spellStart"/>
            <w:r>
              <w:rPr>
                <w:rFonts w:ascii="Book Antiqua" w:eastAsia="Book Antiqua" w:hAnsi="Book Antiqua" w:cs="Book Antiqua"/>
              </w:rPr>
              <w:t>three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versions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of the </w:t>
            </w:r>
            <w:proofErr w:type="spellStart"/>
            <w:r>
              <w:rPr>
                <w:rFonts w:ascii="Book Antiqua" w:eastAsia="Book Antiqua" w:hAnsi="Book Antiqua" w:cs="Book Antiqua"/>
              </w:rPr>
              <w:t>Depression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Anxiety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Stress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Scale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(DASS-42, DASS-21, and DASS-12) in </w:t>
            </w:r>
            <w:proofErr w:type="spellStart"/>
            <w:r>
              <w:rPr>
                <w:rFonts w:ascii="Book Antiqua" w:eastAsia="Book Antiqua" w:hAnsi="Book Antiqua" w:cs="Book Antiqua"/>
              </w:rPr>
              <w:t>Polish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</w:t>
            </w:r>
            <w:proofErr w:type="spellStart"/>
            <w:r>
              <w:rPr>
                <w:rFonts w:ascii="Book Antiqua" w:eastAsia="Book Antiqua" w:hAnsi="Book Antiqua" w:cs="Book Antiqua"/>
              </w:rPr>
              <w:t>adults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</w:t>
            </w:r>
            <w:proofErr w:type="spellStart"/>
            <w:r>
              <w:rPr>
                <w:rFonts w:ascii="Book Antiqua" w:eastAsia="Book Antiqua" w:hAnsi="Book Antiqua" w:cs="Book Antiqua"/>
                <w:i/>
                <w:iCs/>
              </w:rPr>
              <w:t>Frontiers</w:t>
            </w:r>
            <w:proofErr w:type="spellEnd"/>
            <w:r>
              <w:rPr>
                <w:rFonts w:ascii="Book Antiqua" w:eastAsia="Book Antiqua" w:hAnsi="Book Antiqua" w:cs="Book Antiqua"/>
                <w:i/>
                <w:iCs/>
              </w:rPr>
              <w:t xml:space="preserve"> in Psychiatry, 12</w:t>
            </w:r>
            <w:r>
              <w:rPr>
                <w:rFonts w:ascii="Book Antiqua" w:eastAsia="Book Antiqua" w:hAnsi="Book Antiqua" w:cs="Book Antiqua"/>
              </w:rPr>
              <w:t>, 770532. https://doi.org/10.3389/fpsyt.2021.770532.</w:t>
            </w:r>
          </w:p>
        </w:tc>
      </w:tr>
      <w:tr w:rsidR="00D568CB" w14:paraId="12AF59DE" w14:textId="77777777">
        <w:trPr>
          <w:trHeight w:val="1335"/>
          <w:jc w:val="center"/>
        </w:trPr>
        <w:tc>
          <w:tcPr>
            <w:tcW w:w="9068" w:type="dxa"/>
            <w:gridSpan w:val="12"/>
            <w:vAlign w:val="center"/>
          </w:tcPr>
          <w:p w14:paraId="055550C4" w14:textId="77777777" w:rsidR="00D568CB" w:rsidRDefault="00AD3426" w:rsidP="00106411">
            <w:pPr>
              <w:widowControl w:val="0"/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Literatura uzupełniająca:</w:t>
            </w:r>
          </w:p>
          <w:p w14:paraId="350834BD" w14:textId="77777777" w:rsidR="00D568CB" w:rsidRDefault="00AD3426" w:rsidP="00106411">
            <w:pPr>
              <w:widowControl w:val="0"/>
              <w:numPr>
                <w:ilvl w:val="0"/>
                <w:numId w:val="4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Bernat, A., Krzyszkowska, M. (2017). Znaczenie i sposoby wykorzystania psychospołecznych zasobów zaradczych w ujęciu S. E. </w:t>
            </w:r>
            <w:proofErr w:type="spellStart"/>
            <w:r>
              <w:rPr>
                <w:rFonts w:ascii="Book Antiqua" w:eastAsia="Book Antiqua" w:hAnsi="Book Antiqua" w:cs="Book Antiqua"/>
              </w:rPr>
              <w:t>Hobfolla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</w:t>
            </w:r>
            <w:r>
              <w:rPr>
                <w:rFonts w:ascii="Book Antiqua" w:eastAsia="Book Antiqua" w:hAnsi="Book Antiqua" w:cs="Book Antiqua"/>
                <w:i/>
                <w:iCs/>
              </w:rPr>
              <w:t>Studia Paradyskie, 27</w:t>
            </w:r>
            <w:r>
              <w:rPr>
                <w:rFonts w:ascii="Book Antiqua" w:eastAsia="Book Antiqua" w:hAnsi="Book Antiqua" w:cs="Book Antiqua"/>
              </w:rPr>
              <w:t>, 255–278.</w:t>
            </w:r>
          </w:p>
          <w:p w14:paraId="16DBFFB8" w14:textId="77777777" w:rsidR="00D568CB" w:rsidRDefault="00AD3426" w:rsidP="00106411">
            <w:pPr>
              <w:numPr>
                <w:ilvl w:val="0"/>
                <w:numId w:val="4"/>
              </w:num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proofErr w:type="spellStart"/>
            <w:r>
              <w:rPr>
                <w:rFonts w:ascii="Book Antiqua" w:eastAsia="Book Antiqua" w:hAnsi="Book Antiqua" w:cs="Book Antiqua"/>
              </w:rPr>
              <w:t>Hobfoll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, S. E. (2006). </w:t>
            </w:r>
            <w:r>
              <w:rPr>
                <w:rFonts w:ascii="Book Antiqua" w:eastAsia="Book Antiqua" w:hAnsi="Book Antiqua" w:cs="Book Antiqua"/>
                <w:i/>
                <w:iCs/>
              </w:rPr>
              <w:t>Stres, kultura i społeczność: Psychologia i filozofia stresu</w:t>
            </w:r>
            <w:r>
              <w:rPr>
                <w:rFonts w:ascii="Book Antiqua" w:eastAsia="Book Antiqua" w:hAnsi="Book Antiqua" w:cs="Book Antiqua"/>
              </w:rPr>
              <w:t xml:space="preserve"> (tłum. M. </w:t>
            </w:r>
            <w:proofErr w:type="spellStart"/>
            <w:r>
              <w:rPr>
                <w:rFonts w:ascii="Book Antiqua" w:eastAsia="Book Antiqua" w:hAnsi="Book Antiqua" w:cs="Book Antiqua"/>
              </w:rPr>
              <w:t>Kacmajor</w:t>
            </w:r>
            <w:proofErr w:type="spellEnd"/>
            <w:r>
              <w:rPr>
                <w:rFonts w:ascii="Book Antiqua" w:eastAsia="Book Antiqua" w:hAnsi="Book Antiqua" w:cs="Book Antiqua"/>
              </w:rPr>
              <w:t>). Gdańskie Wydawnictwo Psychologiczne.</w:t>
            </w:r>
          </w:p>
          <w:p w14:paraId="10EDED25" w14:textId="77777777" w:rsidR="00D568CB" w:rsidRDefault="00AD3426" w:rsidP="00106411">
            <w:pPr>
              <w:numPr>
                <w:ilvl w:val="0"/>
                <w:numId w:val="4"/>
              </w:numPr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Skalski, S. (2018). Choroba jako źródło stresu: Wybrane koncepcje stresu psychologicznego i radzenia sobie ze stresem. W K. </w:t>
            </w:r>
            <w:proofErr w:type="spellStart"/>
            <w:r>
              <w:rPr>
                <w:rFonts w:ascii="Book Antiqua" w:eastAsia="Book Antiqua" w:hAnsi="Book Antiqua" w:cs="Book Antiqua"/>
              </w:rPr>
              <w:t>Pujer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 (red.), </w:t>
            </w:r>
            <w:r>
              <w:rPr>
                <w:rFonts w:ascii="Book Antiqua" w:eastAsia="Book Antiqua" w:hAnsi="Book Antiqua" w:cs="Book Antiqua"/>
                <w:i/>
                <w:iCs/>
              </w:rPr>
              <w:t xml:space="preserve">Humanistyka i nauki społeczne: Doświadczenia, konteksty, wyzwania </w:t>
            </w:r>
            <w:r>
              <w:rPr>
                <w:rFonts w:ascii="Book Antiqua" w:eastAsia="Book Antiqua" w:hAnsi="Book Antiqua" w:cs="Book Antiqua"/>
              </w:rPr>
              <w:t xml:space="preserve">(s. 11–21). </w:t>
            </w:r>
            <w:proofErr w:type="spellStart"/>
            <w:r>
              <w:rPr>
                <w:rFonts w:ascii="Book Antiqua" w:eastAsia="Book Antiqua" w:hAnsi="Book Antiqua" w:cs="Book Antiqua"/>
              </w:rPr>
              <w:t>Exante</w:t>
            </w:r>
            <w:proofErr w:type="spellEnd"/>
            <w:r>
              <w:rPr>
                <w:rFonts w:ascii="Book Antiqua" w:eastAsia="Book Antiqua" w:hAnsi="Book Antiqua" w:cs="Book Antiqua"/>
              </w:rPr>
              <w:t xml:space="preserve">. </w:t>
            </w:r>
          </w:p>
        </w:tc>
      </w:tr>
      <w:tr w:rsidR="00D568CB" w14:paraId="15136205" w14:textId="77777777">
        <w:trPr>
          <w:trHeight w:val="567"/>
          <w:jc w:val="center"/>
        </w:trPr>
        <w:tc>
          <w:tcPr>
            <w:tcW w:w="9068" w:type="dxa"/>
            <w:gridSpan w:val="12"/>
            <w:vAlign w:val="center"/>
          </w:tcPr>
          <w:p w14:paraId="6C1760AE" w14:textId="77777777" w:rsidR="00D568CB" w:rsidRDefault="00AD3426" w:rsidP="001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57E4D48B" w14:textId="77777777" w:rsidR="00D568CB" w:rsidRDefault="00AD3426" w:rsidP="00106411">
            <w:pPr>
              <w:widowControl w:val="0"/>
              <w:tabs>
                <w:tab w:val="left" w:pos="394"/>
              </w:tabs>
              <w:ind w:left="0" w:hanging="2"/>
              <w:contextualSpacing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 xml:space="preserve">F1 – Ocena aktywności studenta podczas zajęć </w:t>
            </w:r>
          </w:p>
          <w:p w14:paraId="00BAB08B" w14:textId="77777777" w:rsidR="00D568CB" w:rsidRDefault="00AD3426" w:rsidP="00106411">
            <w:pPr>
              <w:widowControl w:val="0"/>
              <w:tabs>
                <w:tab w:val="left" w:pos="394"/>
              </w:tabs>
              <w:ind w:left="0" w:hanging="2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Book Antiqua" w:eastAsia="Book Antiqua" w:hAnsi="Book Antiqua" w:cs="Book Antiqua"/>
              </w:rPr>
              <w:lastRenderedPageBreak/>
              <w:t>P1 – Ocena prezentacji grupowej oraz projektu praktycznego</w:t>
            </w:r>
          </w:p>
        </w:tc>
      </w:tr>
      <w:tr w:rsidR="00D568CB" w14:paraId="3EE58C34" w14:textId="77777777">
        <w:trPr>
          <w:trHeight w:val="567"/>
          <w:jc w:val="center"/>
        </w:trPr>
        <w:tc>
          <w:tcPr>
            <w:tcW w:w="4659" w:type="dxa"/>
            <w:gridSpan w:val="5"/>
            <w:vAlign w:val="center"/>
          </w:tcPr>
          <w:p w14:paraId="23A42306" w14:textId="77777777" w:rsidR="00D568CB" w:rsidRDefault="00AD3426" w:rsidP="001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409" w:type="dxa"/>
            <w:gridSpan w:val="7"/>
            <w:vAlign w:val="center"/>
          </w:tcPr>
          <w:p w14:paraId="6AE06DEA" w14:textId="77777777" w:rsidR="00D568CB" w:rsidRDefault="00AD3426" w:rsidP="00106411">
            <w:pPr>
              <w:widowControl w:val="0"/>
              <w:tabs>
                <w:tab w:val="left" w:pos="394"/>
              </w:tabs>
              <w:ind w:left="0" w:hanging="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D568CB" w14:paraId="4128CF02" w14:textId="77777777">
        <w:trPr>
          <w:trHeight w:val="567"/>
          <w:jc w:val="center"/>
        </w:trPr>
        <w:tc>
          <w:tcPr>
            <w:tcW w:w="4659" w:type="dxa"/>
            <w:gridSpan w:val="5"/>
            <w:vAlign w:val="center"/>
          </w:tcPr>
          <w:p w14:paraId="07406F33" w14:textId="77777777" w:rsidR="00D568CB" w:rsidRDefault="00AD3426" w:rsidP="001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  <w:tc>
          <w:tcPr>
            <w:tcW w:w="3617" w:type="dxa"/>
            <w:gridSpan w:val="6"/>
            <w:vAlign w:val="center"/>
          </w:tcPr>
          <w:p w14:paraId="4DF6B5DE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1. Aktywność podczas zajęć (40%) – F1</w:t>
            </w:r>
          </w:p>
          <w:p w14:paraId="0CABE449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Ocena obejmuje:</w:t>
            </w:r>
          </w:p>
          <w:p w14:paraId="396187CE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udział w dyskusjach i zadaniach grupowych,</w:t>
            </w:r>
          </w:p>
          <w:p w14:paraId="6DA3C805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zaangażowanie w ćwiczenia praktyczne, symulacje i analizy przypadków,</w:t>
            </w:r>
          </w:p>
          <w:p w14:paraId="3F3D4E05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przygotowanie do zajęć oraz wykorzystywanie omawianych treści w pracy warsztatowej.</w:t>
            </w:r>
          </w:p>
          <w:p w14:paraId="2DE6E65E" w14:textId="77777777" w:rsidR="00D568CB" w:rsidRDefault="00D568CB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</w:p>
          <w:p w14:paraId="0E2061BE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2. Prezentacja grupowa (1–3 osoby) – projekt praktyczny (60%) – P1</w:t>
            </w:r>
          </w:p>
          <w:p w14:paraId="0B527557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Każda grupa przygotowuje prezentację dotyczącą wybranej techniki radzenia sobie ze stresem. Prezentacja powinna zawierać:</w:t>
            </w:r>
          </w:p>
          <w:p w14:paraId="756C50BC" w14:textId="77777777" w:rsidR="00D568CB" w:rsidRDefault="00AD3426" w:rsidP="00106411">
            <w:pPr>
              <w:numPr>
                <w:ilvl w:val="0"/>
                <w:numId w:val="1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Tło teoretyczne – rzetelne przedstawienie podstaw naukowych wybranej metody.</w:t>
            </w:r>
          </w:p>
          <w:p w14:paraId="57623D19" w14:textId="77777777" w:rsidR="00D568CB" w:rsidRDefault="00AD3426" w:rsidP="00106411">
            <w:pPr>
              <w:numPr>
                <w:ilvl w:val="0"/>
                <w:numId w:val="1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Ustrukturyzowany harmonogram ćwiczeń – pokaz zastosowań praktycznych w formie krótkiego treningu.</w:t>
            </w:r>
          </w:p>
          <w:p w14:paraId="6ECECB36" w14:textId="77777777" w:rsidR="00D568CB" w:rsidRDefault="00AD3426" w:rsidP="00106411">
            <w:pPr>
              <w:numPr>
                <w:ilvl w:val="0"/>
                <w:numId w:val="1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Dowody naukowe na skuteczność interwencji – omówienie wyników badań, metaanaliz, przeglądów systematycznych lub innych wiarygodnych źródeł.</w:t>
            </w:r>
          </w:p>
          <w:p w14:paraId="0E56BC60" w14:textId="77777777" w:rsidR="00D568CB" w:rsidRDefault="00AD3426" w:rsidP="00106411">
            <w:pPr>
              <w:numPr>
                <w:ilvl w:val="0"/>
                <w:numId w:val="1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Element praktyczny – krótkie przeprowadzenie fragmentu ćwiczenia z grupą.</w:t>
            </w:r>
          </w:p>
          <w:p w14:paraId="308555C4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Kryteria merytoryczne oceny prezentacji:</w:t>
            </w:r>
          </w:p>
          <w:p w14:paraId="0637FE19" w14:textId="77777777" w:rsidR="00D568CB" w:rsidRDefault="00AD3426" w:rsidP="00106411">
            <w:pPr>
              <w:numPr>
                <w:ilvl w:val="0"/>
                <w:numId w:val="2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poprawność merytoryczna i odniesienie do współczesnej literatury,</w:t>
            </w:r>
          </w:p>
          <w:p w14:paraId="2D1BB9E8" w14:textId="77777777" w:rsidR="00D568CB" w:rsidRDefault="00AD3426" w:rsidP="00106411">
            <w:pPr>
              <w:numPr>
                <w:ilvl w:val="0"/>
                <w:numId w:val="2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umiejętność syntezy wiedzy i krytycznego myślenia,</w:t>
            </w:r>
          </w:p>
          <w:p w14:paraId="1BB7D54C" w14:textId="77777777" w:rsidR="00D568CB" w:rsidRDefault="00AD3426" w:rsidP="00106411">
            <w:pPr>
              <w:numPr>
                <w:ilvl w:val="0"/>
                <w:numId w:val="2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lastRenderedPageBreak/>
              <w:t>jakość przygotowania materiałów dydaktycznych,</w:t>
            </w:r>
          </w:p>
          <w:p w14:paraId="767E7A2E" w14:textId="77777777" w:rsidR="00D568CB" w:rsidRDefault="00AD3426" w:rsidP="00106411">
            <w:pPr>
              <w:numPr>
                <w:ilvl w:val="0"/>
                <w:numId w:val="2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jasność przedstawienia treści i przeprowadzenia ćwiczenia,</w:t>
            </w:r>
          </w:p>
          <w:p w14:paraId="6D22320A" w14:textId="77777777" w:rsidR="00D568CB" w:rsidRDefault="00AD3426" w:rsidP="00106411">
            <w:pPr>
              <w:numPr>
                <w:ilvl w:val="0"/>
                <w:numId w:val="2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współpraca w grupie i podział ról.</w:t>
            </w:r>
          </w:p>
          <w:p w14:paraId="53E6A93C" w14:textId="77777777" w:rsidR="00D568CB" w:rsidRDefault="00D568CB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</w:p>
          <w:p w14:paraId="52F74986" w14:textId="77777777" w:rsidR="00D568CB" w:rsidRDefault="00AD3426" w:rsidP="00106411">
            <w:p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  <w:b/>
                <w:bCs/>
              </w:rPr>
              <w:t>Warunkiem zaliczenia warsztatu jest:</w:t>
            </w:r>
          </w:p>
          <w:p w14:paraId="73CC74A4" w14:textId="77777777" w:rsidR="00D568CB" w:rsidRDefault="00AD3426" w:rsidP="00106411">
            <w:pPr>
              <w:numPr>
                <w:ilvl w:val="0"/>
                <w:numId w:val="3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minimum 80% obecności,</w:t>
            </w:r>
          </w:p>
          <w:p w14:paraId="05A3A50D" w14:textId="77777777" w:rsidR="00D568CB" w:rsidRDefault="00AD3426" w:rsidP="00106411">
            <w:pPr>
              <w:numPr>
                <w:ilvl w:val="0"/>
                <w:numId w:val="3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aktywny udział w zajęciach,</w:t>
            </w:r>
          </w:p>
          <w:p w14:paraId="71FFA5BB" w14:textId="77777777" w:rsidR="00D568CB" w:rsidRDefault="00AD3426" w:rsidP="00106411">
            <w:pPr>
              <w:numPr>
                <w:ilvl w:val="0"/>
                <w:numId w:val="3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wykonanie prezentacji grupowej zgodnie z kryteriami,</w:t>
            </w:r>
          </w:p>
          <w:p w14:paraId="7785F81B" w14:textId="77777777" w:rsidR="00D568CB" w:rsidRDefault="00AD3426" w:rsidP="00106411">
            <w:pPr>
              <w:numPr>
                <w:ilvl w:val="0"/>
                <w:numId w:val="3"/>
              </w:numPr>
              <w:ind w:left="0" w:hanging="2"/>
              <w:contextualSpacing/>
              <w:jc w:val="both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terminowe oddawanie zadań cząstkowych (jeśli prowadzący takie wprowadzi).</w:t>
            </w:r>
          </w:p>
        </w:tc>
        <w:tc>
          <w:tcPr>
            <w:tcW w:w="792" w:type="dxa"/>
            <w:vAlign w:val="center"/>
          </w:tcPr>
          <w:p w14:paraId="698C29B4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1D7380F6" w14:textId="77777777">
        <w:trPr>
          <w:trHeight w:val="567"/>
          <w:jc w:val="center"/>
        </w:trPr>
        <w:tc>
          <w:tcPr>
            <w:tcW w:w="906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559A59C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D568CB" w14:paraId="01CB04D6" w14:textId="77777777">
        <w:trPr>
          <w:trHeight w:val="567"/>
          <w:jc w:val="center"/>
        </w:trPr>
        <w:tc>
          <w:tcPr>
            <w:tcW w:w="1242" w:type="dxa"/>
            <w:shd w:val="clear" w:color="auto" w:fill="D5DCE4"/>
            <w:vAlign w:val="center"/>
          </w:tcPr>
          <w:p w14:paraId="73272A64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5008" w:type="dxa"/>
            <w:gridSpan w:val="7"/>
            <w:shd w:val="clear" w:color="auto" w:fill="D5DCE4"/>
            <w:vAlign w:val="center"/>
          </w:tcPr>
          <w:p w14:paraId="4092340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818" w:type="dxa"/>
            <w:gridSpan w:val="4"/>
            <w:shd w:val="clear" w:color="auto" w:fill="D5DCE4"/>
            <w:vAlign w:val="center"/>
          </w:tcPr>
          <w:p w14:paraId="43E34B4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D568CB" w14:paraId="2611491C" w14:textId="77777777">
        <w:trPr>
          <w:trHeight w:val="546"/>
          <w:jc w:val="center"/>
        </w:trPr>
        <w:tc>
          <w:tcPr>
            <w:tcW w:w="1242" w:type="dxa"/>
          </w:tcPr>
          <w:p w14:paraId="648541C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5008" w:type="dxa"/>
            <w:gridSpan w:val="7"/>
          </w:tcPr>
          <w:p w14:paraId="67389C46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Samodzielnie rozstrzyga problemy poprawnościowe i stylistyczne, uzasadniając decyzje w oparciu o źródła normatywne oraz analizę uzusu (w tym kwerendy słownikowe i korpusowe).</w:t>
            </w:r>
          </w:p>
        </w:tc>
        <w:tc>
          <w:tcPr>
            <w:tcW w:w="2818" w:type="dxa"/>
            <w:gridSpan w:val="4"/>
            <w:vAlign w:val="center"/>
          </w:tcPr>
          <w:p w14:paraId="01D01063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K_W21</w:t>
            </w:r>
          </w:p>
        </w:tc>
      </w:tr>
      <w:tr w:rsidR="00D568CB" w14:paraId="47946F50" w14:textId="77777777">
        <w:trPr>
          <w:trHeight w:val="416"/>
          <w:jc w:val="center"/>
        </w:trPr>
        <w:tc>
          <w:tcPr>
            <w:tcW w:w="1242" w:type="dxa"/>
          </w:tcPr>
          <w:p w14:paraId="002E71EC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5008" w:type="dxa"/>
            <w:gridSpan w:val="7"/>
          </w:tcPr>
          <w:p w14:paraId="10D51E70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Redaguje i koryguje teksty (ortografia, interpunkcja, leksyka, styl), dbając o komunikatywność i stosowność; potrafi wskazać typowe błędy i zaproponować adekwatne poprawki.</w:t>
            </w:r>
          </w:p>
        </w:tc>
        <w:tc>
          <w:tcPr>
            <w:tcW w:w="2818" w:type="dxa"/>
            <w:gridSpan w:val="4"/>
            <w:vAlign w:val="center"/>
          </w:tcPr>
          <w:p w14:paraId="5AFD6EE7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</w:tr>
      <w:tr w:rsidR="00D568CB" w14:paraId="7C478109" w14:textId="77777777">
        <w:trPr>
          <w:trHeight w:val="416"/>
          <w:jc w:val="center"/>
        </w:trPr>
        <w:tc>
          <w:tcPr>
            <w:tcW w:w="1242" w:type="dxa"/>
          </w:tcPr>
          <w:p w14:paraId="247F227C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5008" w:type="dxa"/>
            <w:gridSpan w:val="7"/>
          </w:tcPr>
          <w:p w14:paraId="3C5AC165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Wykazuje dbałość o kulturę języka w praktyce zawodowej i życiu publicznym; przyjmuje odpowiedzialność za jakość i etyczne konsekwencje komunikatu.</w:t>
            </w:r>
          </w:p>
        </w:tc>
        <w:tc>
          <w:tcPr>
            <w:tcW w:w="2818" w:type="dxa"/>
            <w:gridSpan w:val="4"/>
            <w:vAlign w:val="center"/>
          </w:tcPr>
          <w:p w14:paraId="00BA0B13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</w:tc>
      </w:tr>
      <w:tr w:rsidR="00D568CB" w14:paraId="2C518FAA" w14:textId="77777777">
        <w:trPr>
          <w:trHeight w:val="567"/>
          <w:jc w:val="center"/>
        </w:trPr>
        <w:tc>
          <w:tcPr>
            <w:tcW w:w="9068" w:type="dxa"/>
            <w:gridSpan w:val="12"/>
            <w:shd w:val="clear" w:color="auto" w:fill="D5DCE4"/>
            <w:vAlign w:val="center"/>
          </w:tcPr>
          <w:p w14:paraId="5E2E2BC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D568CB" w14:paraId="49ABC7AA" w14:textId="77777777">
        <w:trPr>
          <w:trHeight w:val="567"/>
          <w:jc w:val="center"/>
        </w:trPr>
        <w:tc>
          <w:tcPr>
            <w:tcW w:w="124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0012C99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226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818BA21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370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7A967F1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1642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9056E3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2004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0629390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584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0C3FC1E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D568CB" w14:paraId="3EA497A3" w14:textId="77777777">
        <w:trPr>
          <w:trHeight w:val="638"/>
          <w:jc w:val="center"/>
        </w:trPr>
        <w:tc>
          <w:tcPr>
            <w:tcW w:w="1242" w:type="dxa"/>
          </w:tcPr>
          <w:p w14:paraId="5E17AA8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226" w:type="dxa"/>
            <w:vAlign w:val="center"/>
          </w:tcPr>
          <w:p w14:paraId="4CF530B1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K_W21</w:t>
            </w:r>
          </w:p>
        </w:tc>
        <w:tc>
          <w:tcPr>
            <w:tcW w:w="1370" w:type="dxa"/>
            <w:gridSpan w:val="2"/>
          </w:tcPr>
          <w:p w14:paraId="7559CC9E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642" w:type="dxa"/>
            <w:gridSpan w:val="2"/>
          </w:tcPr>
          <w:p w14:paraId="110BACD5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Ć1-Ć15</w:t>
            </w:r>
          </w:p>
        </w:tc>
        <w:tc>
          <w:tcPr>
            <w:tcW w:w="2004" w:type="dxa"/>
            <w:gridSpan w:val="4"/>
          </w:tcPr>
          <w:p w14:paraId="07F21C5B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584" w:type="dxa"/>
            <w:gridSpan w:val="2"/>
          </w:tcPr>
          <w:p w14:paraId="6E3692A4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568CB" w14:paraId="02BE070F" w14:textId="77777777">
        <w:trPr>
          <w:trHeight w:val="220"/>
          <w:jc w:val="center"/>
        </w:trPr>
        <w:tc>
          <w:tcPr>
            <w:tcW w:w="1242" w:type="dxa"/>
          </w:tcPr>
          <w:p w14:paraId="4B5A1E0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226" w:type="dxa"/>
            <w:vAlign w:val="center"/>
          </w:tcPr>
          <w:p w14:paraId="5B3E0BBD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  <w:tc>
          <w:tcPr>
            <w:tcW w:w="1370" w:type="dxa"/>
            <w:gridSpan w:val="2"/>
          </w:tcPr>
          <w:p w14:paraId="765549C4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642" w:type="dxa"/>
            <w:gridSpan w:val="2"/>
          </w:tcPr>
          <w:p w14:paraId="40FBEAED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Ć10-Ć15</w:t>
            </w:r>
          </w:p>
        </w:tc>
        <w:tc>
          <w:tcPr>
            <w:tcW w:w="2004" w:type="dxa"/>
            <w:gridSpan w:val="4"/>
          </w:tcPr>
          <w:p w14:paraId="1B70505B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584" w:type="dxa"/>
            <w:gridSpan w:val="2"/>
          </w:tcPr>
          <w:p w14:paraId="3EC766C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568CB" w14:paraId="208FD069" w14:textId="77777777">
        <w:trPr>
          <w:trHeight w:val="567"/>
          <w:jc w:val="center"/>
        </w:trPr>
        <w:tc>
          <w:tcPr>
            <w:tcW w:w="1242" w:type="dxa"/>
          </w:tcPr>
          <w:p w14:paraId="4F21711D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226" w:type="dxa"/>
            <w:vAlign w:val="center"/>
          </w:tcPr>
          <w:p w14:paraId="50FD34E3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K_K02</w:t>
            </w:r>
          </w:p>
        </w:tc>
        <w:tc>
          <w:tcPr>
            <w:tcW w:w="1370" w:type="dxa"/>
            <w:gridSpan w:val="2"/>
          </w:tcPr>
          <w:p w14:paraId="1CE2C0A8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1642" w:type="dxa"/>
            <w:gridSpan w:val="2"/>
          </w:tcPr>
          <w:p w14:paraId="4205BED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Ć1-Ć15</w:t>
            </w:r>
          </w:p>
        </w:tc>
        <w:tc>
          <w:tcPr>
            <w:tcW w:w="2004" w:type="dxa"/>
            <w:gridSpan w:val="4"/>
          </w:tcPr>
          <w:p w14:paraId="71779885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584" w:type="dxa"/>
            <w:gridSpan w:val="2"/>
          </w:tcPr>
          <w:p w14:paraId="142312A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1,P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D568CB" w14:paraId="1F21B240" w14:textId="77777777">
        <w:trPr>
          <w:trHeight w:val="567"/>
          <w:jc w:val="center"/>
        </w:trPr>
        <w:tc>
          <w:tcPr>
            <w:tcW w:w="9068" w:type="dxa"/>
            <w:gridSpan w:val="1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83B1F04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Formy zajęć i punkty ECTS</w:t>
            </w:r>
          </w:p>
        </w:tc>
      </w:tr>
      <w:tr w:rsidR="00D568CB" w14:paraId="2C24E101" w14:textId="77777777">
        <w:trPr>
          <w:cantSplit/>
          <w:trHeight w:val="480"/>
          <w:jc w:val="center"/>
        </w:trPr>
        <w:tc>
          <w:tcPr>
            <w:tcW w:w="2828" w:type="dxa"/>
            <w:gridSpan w:val="3"/>
            <w:vMerge w:val="restart"/>
            <w:shd w:val="clear" w:color="auto" w:fill="D5DCE4"/>
            <w:vAlign w:val="center"/>
          </w:tcPr>
          <w:p w14:paraId="6ABFF3E6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012" w:type="dxa"/>
            <w:gridSpan w:val="4"/>
            <w:vMerge w:val="restart"/>
            <w:shd w:val="clear" w:color="auto" w:fill="D5DCE4"/>
            <w:vAlign w:val="center"/>
          </w:tcPr>
          <w:p w14:paraId="60FCB6A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3228" w:type="dxa"/>
            <w:gridSpan w:val="5"/>
            <w:shd w:val="clear" w:color="auto" w:fill="D5DCE4"/>
            <w:vAlign w:val="center"/>
          </w:tcPr>
          <w:p w14:paraId="59F8781D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D568CB" w14:paraId="15ECBDA1" w14:textId="77777777">
        <w:trPr>
          <w:cantSplit/>
          <w:trHeight w:val="480"/>
          <w:jc w:val="center"/>
        </w:trPr>
        <w:tc>
          <w:tcPr>
            <w:tcW w:w="2828" w:type="dxa"/>
            <w:gridSpan w:val="3"/>
            <w:vMerge/>
            <w:shd w:val="clear" w:color="auto" w:fill="D5DCE4"/>
            <w:vAlign w:val="center"/>
          </w:tcPr>
          <w:p w14:paraId="1DD8AF7E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Merge/>
            <w:shd w:val="clear" w:color="auto" w:fill="D5DCE4"/>
            <w:vAlign w:val="center"/>
          </w:tcPr>
          <w:p w14:paraId="1CD13D3B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shd w:val="clear" w:color="auto" w:fill="D5DCE4"/>
            <w:vAlign w:val="center"/>
          </w:tcPr>
          <w:p w14:paraId="2226CCB6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944" w:type="dxa"/>
            <w:gridSpan w:val="3"/>
            <w:shd w:val="clear" w:color="auto" w:fill="D5DCE4"/>
            <w:vAlign w:val="center"/>
          </w:tcPr>
          <w:p w14:paraId="4588388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D568CB" w14:paraId="6B694C02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36337A44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012" w:type="dxa"/>
            <w:gridSpan w:val="4"/>
            <w:vMerge w:val="restart"/>
            <w:vAlign w:val="center"/>
          </w:tcPr>
          <w:p w14:paraId="6FE6660E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284" w:type="dxa"/>
            <w:gridSpan w:val="2"/>
            <w:vAlign w:val="center"/>
          </w:tcPr>
          <w:p w14:paraId="74E621BE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3BA95D33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06E4433B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4195EACD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2F5DA0E7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35F27D0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1944" w:type="dxa"/>
            <w:gridSpan w:val="3"/>
            <w:vAlign w:val="center"/>
          </w:tcPr>
          <w:p w14:paraId="32B28D5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D568CB" w14:paraId="465C2C8E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7DF3EA00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164EB5A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7A59E28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57B142CA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37F298B6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59261003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2441276C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72921606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6963E26F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159F1E9A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70D95688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5CD98622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FFBA164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136B4768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427E3F32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1465A7CE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1AE3439C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1BA56CE0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344E7F81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142321ED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004B3803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60B06C35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B341208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47A4B0E5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35E5E6E1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Align w:val="center"/>
          </w:tcPr>
          <w:p w14:paraId="22D947AF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Konsultacje</w:t>
            </w:r>
          </w:p>
        </w:tc>
        <w:tc>
          <w:tcPr>
            <w:tcW w:w="3012" w:type="dxa"/>
            <w:gridSpan w:val="4"/>
            <w:vMerge/>
            <w:vAlign w:val="center"/>
          </w:tcPr>
          <w:p w14:paraId="049FBC1A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7EFFD568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944" w:type="dxa"/>
            <w:gridSpan w:val="3"/>
            <w:vAlign w:val="center"/>
          </w:tcPr>
          <w:p w14:paraId="37AAFE2D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D568CB" w14:paraId="154C3898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 w:val="restart"/>
            <w:vAlign w:val="center"/>
          </w:tcPr>
          <w:p w14:paraId="4FD71A1B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012" w:type="dxa"/>
            <w:gridSpan w:val="4"/>
            <w:vAlign w:val="center"/>
          </w:tcPr>
          <w:p w14:paraId="0A116BE2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284" w:type="dxa"/>
            <w:gridSpan w:val="2"/>
            <w:vAlign w:val="center"/>
          </w:tcPr>
          <w:p w14:paraId="59646A0F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1944" w:type="dxa"/>
            <w:gridSpan w:val="3"/>
            <w:vAlign w:val="center"/>
          </w:tcPr>
          <w:p w14:paraId="7C459AAF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</w:tr>
      <w:tr w:rsidR="00D568CB" w14:paraId="36D90B70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2823CD00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007C522B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284" w:type="dxa"/>
            <w:gridSpan w:val="2"/>
            <w:vAlign w:val="center"/>
          </w:tcPr>
          <w:p w14:paraId="3C68F4F1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218999AB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61B92E24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3F98AB1E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5EE97929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284" w:type="dxa"/>
            <w:gridSpan w:val="2"/>
            <w:vAlign w:val="center"/>
          </w:tcPr>
          <w:p w14:paraId="3DD9FCE0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6EC6F530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75244FAF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182C1716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6E7E7211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284" w:type="dxa"/>
            <w:gridSpan w:val="2"/>
            <w:vAlign w:val="center"/>
          </w:tcPr>
          <w:p w14:paraId="03EAF688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680078B9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7C3EC807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D11DDCB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017679E9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284" w:type="dxa"/>
            <w:gridSpan w:val="2"/>
            <w:vAlign w:val="center"/>
          </w:tcPr>
          <w:p w14:paraId="392F85DC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6F2F14D3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28F264E5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0F8CAB9B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vAlign w:val="center"/>
          </w:tcPr>
          <w:p w14:paraId="22A024E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284" w:type="dxa"/>
            <w:gridSpan w:val="2"/>
            <w:vAlign w:val="center"/>
          </w:tcPr>
          <w:p w14:paraId="74B4E30C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1944" w:type="dxa"/>
            <w:gridSpan w:val="3"/>
            <w:vAlign w:val="center"/>
          </w:tcPr>
          <w:p w14:paraId="5A772C7C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D568CB" w14:paraId="63E31E88" w14:textId="77777777">
        <w:trPr>
          <w:cantSplit/>
          <w:trHeight w:val="567"/>
          <w:jc w:val="center"/>
        </w:trPr>
        <w:tc>
          <w:tcPr>
            <w:tcW w:w="2828" w:type="dxa"/>
            <w:gridSpan w:val="3"/>
            <w:vMerge/>
            <w:vAlign w:val="center"/>
          </w:tcPr>
          <w:p w14:paraId="7615627B" w14:textId="77777777" w:rsidR="00D568CB" w:rsidRDefault="00D568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12" w:type="dxa"/>
            <w:gridSpan w:val="4"/>
            <w:tcBorders>
              <w:bottom w:val="single" w:sz="4" w:space="0" w:color="000000"/>
            </w:tcBorders>
            <w:vAlign w:val="center"/>
          </w:tcPr>
          <w:p w14:paraId="2D6FF8DA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84" w:type="dxa"/>
            <w:gridSpan w:val="2"/>
            <w:vAlign w:val="center"/>
          </w:tcPr>
          <w:p w14:paraId="3BAA99E3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1ADE7960" w14:textId="77777777" w:rsidR="00D568CB" w:rsidRDefault="00D568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68CB" w14:paraId="2F5927A3" w14:textId="77777777">
        <w:trPr>
          <w:trHeight w:val="567"/>
          <w:jc w:val="center"/>
        </w:trPr>
        <w:tc>
          <w:tcPr>
            <w:tcW w:w="5840" w:type="dxa"/>
            <w:gridSpan w:val="7"/>
            <w:shd w:val="clear" w:color="auto" w:fill="F2F2F2"/>
            <w:vAlign w:val="center"/>
          </w:tcPr>
          <w:p w14:paraId="1B172C43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284" w:type="dxa"/>
            <w:gridSpan w:val="2"/>
            <w:vAlign w:val="center"/>
          </w:tcPr>
          <w:p w14:paraId="6309CC8C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944" w:type="dxa"/>
            <w:gridSpan w:val="3"/>
            <w:vAlign w:val="center"/>
          </w:tcPr>
          <w:p w14:paraId="09F8F845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</w:tr>
      <w:tr w:rsidR="00D568CB" w14:paraId="42BDCE1A" w14:textId="77777777">
        <w:trPr>
          <w:trHeight w:val="567"/>
          <w:jc w:val="center"/>
        </w:trPr>
        <w:tc>
          <w:tcPr>
            <w:tcW w:w="5840" w:type="dxa"/>
            <w:gridSpan w:val="7"/>
            <w:shd w:val="clear" w:color="auto" w:fill="F2F2F2"/>
            <w:vAlign w:val="center"/>
          </w:tcPr>
          <w:p w14:paraId="0A527761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3228" w:type="dxa"/>
            <w:gridSpan w:val="5"/>
            <w:vAlign w:val="center"/>
          </w:tcPr>
          <w:p w14:paraId="18BA6B94" w14:textId="77777777" w:rsidR="00D568CB" w:rsidRDefault="00AD3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</w:tbl>
    <w:p w14:paraId="0698A446" w14:textId="77777777" w:rsidR="00D568CB" w:rsidRDefault="00D568C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8E2C954" w14:textId="77777777" w:rsidR="00D568CB" w:rsidRDefault="00D568C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D568CB">
      <w:footerReference w:type="default" r:id="rId12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08554" w14:textId="77777777" w:rsidR="009C2A7C" w:rsidRDefault="009C2A7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8D32E20" w14:textId="77777777" w:rsidR="009C2A7C" w:rsidRDefault="009C2A7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3F2CB8A-75B1-9A4F-A90F-9A6CE37B8F25}"/>
    <w:embedBold r:id="rId2" w:fontKey="{58CF2286-85C8-7C43-BF29-00072C9A6791}"/>
    <w:embedItalic r:id="rId3" w:fontKey="{F7E8FE56-EA3D-6B4F-8A5D-3619A35129A4}"/>
    <w:embedBoldItalic r:id="rId4" w:fontKey="{AD115E7C-C430-894D-8FA3-F8497B8963E0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D33146B9-4C9F-4348-B70F-AAB6E284483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F6DD63FA-454A-2845-B28B-06EDE20E66F6}"/>
    <w:embedBold r:id="rId8" w:fontKey="{F4D9CAB5-D11A-674F-821D-3B3D2849415E}"/>
    <w:embedItalic r:id="rId9" w:fontKey="{43B369AE-D22A-9549-99BC-BF2DFAAD2F24}"/>
    <w:embedBoldItalic r:id="rId10" w:fontKey="{6347E05B-5673-DD4F-919A-C47A42D2DBA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5AB4A23E-75B0-E744-B433-ADFD30AE2E82}"/>
    <w:embedBold r:id="rId12" w:fontKey="{8954BA0E-0971-A54C-BA7D-7485AD9C180D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3" w:fontKey="{1E2D1F26-8DA6-EA4A-B36A-E151E834E307}"/>
    <w:embedBold r:id="rId14" w:fontKey="{64DDA715-2021-DD43-AE06-F1A4A1EE2BD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5" w:fontKey="{5996E9AC-E7A5-C84B-8FFD-2ADBE5DE9444}"/>
    <w:embedBold r:id="rId16" w:fontKey="{6E2012C6-7C90-C941-B606-4C6B707A5AC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7" w:fontKey="{75BDDFF3-FB5A-BE46-8E60-E9D2D0D36BF2}"/>
    <w:embedItalic r:id="rId18" w:fontKey="{1D0711BF-603B-3141-99F8-EFEBB36A3471}"/>
  </w:font>
  <w:font w:name="EUAlbertina">
    <w:altName w:val="Cambria"/>
    <w:panose1 w:val="020B0604020202020204"/>
    <w:charset w:val="00"/>
    <w:family w:val="roman"/>
    <w:notTrueType/>
    <w:pitch w:val="default"/>
    <w:sig w:usb0="00000001" w:usb1="00000000" w:usb2="00000000" w:usb3="00000000" w:csb0="0000000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0" w:fontKey="{6571689E-EC3F-AE4C-B28B-D6CBB90AEA29}"/>
    <w:embedBold r:id="rId21" w:fontKey="{A1033A8D-2A47-FC4D-B4B5-2C2381377A5C}"/>
    <w:embedItalic r:id="rId22" w:fontKey="{FA5DA3DF-1FCD-9741-AC27-F6045A4FC6A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3" w:fontKey="{127A4DD4-AF6F-4249-813E-6D7AEAAB10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68349" w14:textId="77777777" w:rsidR="00D568CB" w:rsidRDefault="00AD342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106411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F77682E" w14:textId="77777777" w:rsidR="00D568CB" w:rsidRDefault="00D568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3921A" w14:textId="77777777" w:rsidR="009C2A7C" w:rsidRDefault="009C2A7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4C6F6BA" w14:textId="77777777" w:rsidR="009C2A7C" w:rsidRDefault="009C2A7C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627B0"/>
    <w:multiLevelType w:val="multilevel"/>
    <w:tmpl w:val="A99673C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F0861CE"/>
    <w:multiLevelType w:val="multilevel"/>
    <w:tmpl w:val="F15293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CEB3FD3"/>
    <w:multiLevelType w:val="multilevel"/>
    <w:tmpl w:val="A3F0A5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Nagwek2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pStyle w:val="Nagwek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9F676C2"/>
    <w:multiLevelType w:val="multilevel"/>
    <w:tmpl w:val="853A7C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pStyle w:val="CMSHeadL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56C3B34"/>
    <w:multiLevelType w:val="multilevel"/>
    <w:tmpl w:val="F4364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7A055D57"/>
    <w:multiLevelType w:val="multilevel"/>
    <w:tmpl w:val="4AC8525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num w:numId="1" w16cid:durableId="2123760846">
    <w:abstractNumId w:val="2"/>
  </w:num>
  <w:num w:numId="2" w16cid:durableId="587008990">
    <w:abstractNumId w:val="3"/>
  </w:num>
  <w:num w:numId="3" w16cid:durableId="811948273">
    <w:abstractNumId w:val="1"/>
  </w:num>
  <w:num w:numId="4" w16cid:durableId="759134068">
    <w:abstractNumId w:val="5"/>
  </w:num>
  <w:num w:numId="5" w16cid:durableId="1437483579">
    <w:abstractNumId w:val="4"/>
  </w:num>
  <w:num w:numId="6" w16cid:durableId="208537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8CB"/>
    <w:rsid w:val="00106411"/>
    <w:rsid w:val="008B22FF"/>
    <w:rsid w:val="008D45AF"/>
    <w:rsid w:val="0096533C"/>
    <w:rsid w:val="009C2A7C"/>
    <w:rsid w:val="00A339D3"/>
    <w:rsid w:val="00AD3426"/>
    <w:rsid w:val="00AF4B99"/>
    <w:rsid w:val="00B4250A"/>
    <w:rsid w:val="00D568CB"/>
    <w:rsid w:val="00E920BF"/>
    <w:rsid w:val="00F4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A35D63"/>
  <w15:docId w15:val="{C48A279D-7AD3-C243-A911-4FDCE1DF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Tre">
    <w:name w:val="Treść"/>
    <w:pPr>
      <w:shd w:val="clear" w:color="auto" w:fill="FFFFFF"/>
      <w:suppressAutoHyphens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Helvetica Neue" w:eastAsia="Arial Unicode MS" w:hAnsi="Helvetica Neue" w:cs="Arial Unicode MS"/>
      <w:color w:val="000000"/>
      <w:kern w:val="1"/>
      <w:position w:val="-1"/>
      <w:sz w:val="22"/>
      <w:szCs w:val="22"/>
      <w:lang w:val="pl-PL" w:eastAsia="hi-IN" w:bidi="hi-IN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pQsoGQy2qRkZUwP3VUMnJe3yQ==">CgMxLjA4AHIhMUpUdFJPMFZtZ2RjVWlZSVBUak0zaGJQOFRLem4yd1ll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3FCA33-3D93-4675-A578-DBD01E974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A81E44-23F5-4339-8EBD-F806A709B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8FC280-2DA7-476F-B1B1-07A187F4088E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1124</Words>
  <Characters>6748</Characters>
  <Application>Microsoft Office Word</Application>
  <DocSecurity>0</DocSecurity>
  <Lines>56</Lines>
  <Paragraphs>15</Paragraphs>
  <ScaleCrop>false</ScaleCrop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cp:lastModifiedBy>Daria Marzec</cp:lastModifiedBy>
  <cp:revision>5</cp:revision>
  <dcterms:created xsi:type="dcterms:W3CDTF">2026-02-23T08:59:00Z</dcterms:created>
  <dcterms:modified xsi:type="dcterms:W3CDTF">2026-04-09T09:24:00Z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