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410A" w14:textId="77777777" w:rsidR="004C3CBF" w:rsidRDefault="001772A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28B4200" wp14:editId="328B4201">
            <wp:simplePos x="0" y="0"/>
            <wp:positionH relativeFrom="column">
              <wp:posOffset>-504824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8B410B" w14:textId="77777777" w:rsidR="004C3CBF" w:rsidRDefault="004C3CB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2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4"/>
        <w:gridCol w:w="1848"/>
        <w:gridCol w:w="33"/>
        <w:gridCol w:w="1350"/>
        <w:gridCol w:w="430"/>
        <w:gridCol w:w="1610"/>
        <w:gridCol w:w="354"/>
        <w:gridCol w:w="469"/>
        <w:gridCol w:w="992"/>
        <w:gridCol w:w="35"/>
        <w:gridCol w:w="1686"/>
      </w:tblGrid>
      <w:tr w:rsidR="004C3CBF" w14:paraId="328B410D" w14:textId="77777777">
        <w:trPr>
          <w:trHeight w:val="723"/>
          <w:jc w:val="center"/>
        </w:trPr>
        <w:tc>
          <w:tcPr>
            <w:tcW w:w="10291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28B410C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4C3CBF" w14:paraId="328B410F" w14:textId="77777777">
        <w:trPr>
          <w:trHeight w:val="567"/>
          <w:jc w:val="center"/>
        </w:trPr>
        <w:tc>
          <w:tcPr>
            <w:tcW w:w="10291" w:type="dxa"/>
            <w:gridSpan w:val="11"/>
            <w:shd w:val="clear" w:color="auto" w:fill="FFFFFF"/>
            <w:vAlign w:val="center"/>
          </w:tcPr>
          <w:p w14:paraId="328B410E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4C3CBF" w14:paraId="328B4113" w14:textId="77777777">
        <w:trPr>
          <w:trHeight w:val="567"/>
          <w:jc w:val="center"/>
        </w:trPr>
        <w:tc>
          <w:tcPr>
            <w:tcW w:w="3332" w:type="dxa"/>
            <w:gridSpan w:val="2"/>
            <w:vAlign w:val="center"/>
          </w:tcPr>
          <w:p w14:paraId="328B4110" w14:textId="77777777" w:rsidR="004C3CBF" w:rsidRDefault="001772A4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Rodzaj przedmiotu: </w:t>
            </w:r>
          </w:p>
          <w:p w14:paraId="328B4111" w14:textId="77777777" w:rsidR="004C3CBF" w:rsidRDefault="001772A4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Przedmioty fakultatywne</w:t>
            </w:r>
          </w:p>
        </w:tc>
        <w:tc>
          <w:tcPr>
            <w:tcW w:w="6959" w:type="dxa"/>
            <w:gridSpan w:val="9"/>
            <w:vAlign w:val="center"/>
          </w:tcPr>
          <w:p w14:paraId="328B4112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</w:tr>
      <w:tr w:rsidR="004C3CBF" w14:paraId="328B4115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14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Prowadzący: -</w:t>
            </w:r>
          </w:p>
        </w:tc>
      </w:tr>
      <w:tr w:rsidR="004C3CBF" w14:paraId="328B4117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16" w14:textId="77777777" w:rsidR="004C3CBF" w:rsidRDefault="001772A4">
            <w:pPr>
              <w:pStyle w:val="Nagwek1"/>
              <w:spacing w:line="276" w:lineRule="auto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jednolite magisterskie (7 PRK)</w:t>
            </w:r>
          </w:p>
        </w:tc>
      </w:tr>
      <w:tr w:rsidR="004C3CBF" w14:paraId="328B4119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18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4C3CBF" w14:paraId="328B411C" w14:textId="77777777">
        <w:trPr>
          <w:trHeight w:val="567"/>
          <w:jc w:val="center"/>
        </w:trPr>
        <w:tc>
          <w:tcPr>
            <w:tcW w:w="10291" w:type="dxa"/>
            <w:gridSpan w:val="11"/>
            <w:tcBorders>
              <w:bottom w:val="single" w:sz="4" w:space="0" w:color="000000"/>
            </w:tcBorders>
            <w:vAlign w:val="center"/>
          </w:tcPr>
          <w:p w14:paraId="328B411A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328B411B" w14:textId="77777777" w:rsidR="004C3CBF" w:rsidRDefault="001772A4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4C3CBF" w14:paraId="328B411E" w14:textId="77777777">
        <w:trPr>
          <w:trHeight w:val="567"/>
          <w:jc w:val="center"/>
        </w:trPr>
        <w:tc>
          <w:tcPr>
            <w:tcW w:w="10291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328B411D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SEKSUOLOGIA</w:t>
            </w:r>
          </w:p>
        </w:tc>
      </w:tr>
      <w:tr w:rsidR="004C3CBF" w14:paraId="328B4124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1F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left" w:pos="0"/>
              </w:tabs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328B4120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left" w:pos="0"/>
              </w:tabs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Konwersatorium:</w:t>
            </w:r>
          </w:p>
          <w:p w14:paraId="328B4121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left" w:pos="0"/>
              </w:tabs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i uporządkowanie wiedzy dotyczącej seksualności człowieka i jej komponentów oraz analiza biologicznych, społecznych i kulturowych uwarunkowań aktywności seksualnej człowieka.</w:t>
            </w:r>
          </w:p>
          <w:p w14:paraId="328B4122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left" w:pos="0"/>
              </w:tabs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i interpretacja rozwoju psychoseksualnego człowieka w cyklu życia, z uwzględnieniem specyfiki poszczególnych faz rozwojowych oraz sposobów manifestowania i zaspokajania potrzeb seksualnych.</w:t>
            </w:r>
          </w:p>
          <w:p w14:paraId="328B4123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left" w:pos="0"/>
              </w:tabs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Krytyczna analiza praw seksualnych oraz problematyki agresji i przemocy seksualnej, wraz z formułowaniem uzasadnionych wniosków dotyczących standardów postępowania, profilaktyki i wsparcia.</w:t>
            </w:r>
          </w:p>
        </w:tc>
      </w:tr>
      <w:tr w:rsidR="004C3CBF" w14:paraId="328B4127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25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  <w:p w14:paraId="328B4126" w14:textId="77777777" w:rsidR="004C3CBF" w:rsidRDefault="004C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C3CBF" w14:paraId="328B412A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28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  <w:p w14:paraId="328B4129" w14:textId="77777777" w:rsidR="004C3CBF" w:rsidRDefault="004C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C3CBF" w14:paraId="328B4132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2B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328B412C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wykład problemowy (prezentacje multimedialne, artykuły naukowe/monografie, akty prawne i standardy/wytyczne).</w:t>
            </w:r>
          </w:p>
          <w:p w14:paraId="328B412D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Dyskusja kierowana / analiza przypadków (studia przypadków, materiały źródłowe, fragmenty badań/raportów).</w:t>
            </w:r>
          </w:p>
          <w:p w14:paraId="328B412E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Konsultacje (materiały dydaktyczne).</w:t>
            </w:r>
          </w:p>
          <w:p w14:paraId="328B412F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praktyczne (karty pracy, scenariusze/ćwiczenia sytuacyjne, materiały do analizy).</w:t>
            </w:r>
          </w:p>
          <w:p w14:paraId="328B4130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):</w:t>
            </w:r>
          </w:p>
          <w:p w14:paraId="328B4131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materiały wizualne (schematy, infografiki, ryciny/tabele z publikacji).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Materiały źródłowe do analizy (monografie/rozdziały, artykuły recenzowane, raporty z badań, akty prawne, standardy i wytyczne).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Materiały ćwiczeniowe (studia przypadków, karty pracy, scenariusze sytuacyjne, arkusze wnioskowania i checklisty etyczno-prawne).</w:t>
            </w:r>
          </w:p>
        </w:tc>
      </w:tr>
      <w:tr w:rsidR="004C3CBF" w14:paraId="328B4135" w14:textId="77777777">
        <w:trPr>
          <w:trHeight w:val="273"/>
          <w:jc w:val="center"/>
        </w:trPr>
        <w:tc>
          <w:tcPr>
            <w:tcW w:w="10291" w:type="dxa"/>
            <w:gridSpan w:val="11"/>
            <w:shd w:val="clear" w:color="auto" w:fill="DBE5F1"/>
            <w:vAlign w:val="center"/>
          </w:tcPr>
          <w:p w14:paraId="328B4133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328B4134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C3CBF" w14:paraId="328B4146" w14:textId="77777777">
        <w:trPr>
          <w:trHeight w:val="1410"/>
          <w:jc w:val="center"/>
        </w:trPr>
        <w:tc>
          <w:tcPr>
            <w:tcW w:w="10291" w:type="dxa"/>
            <w:gridSpan w:val="11"/>
          </w:tcPr>
          <w:p w14:paraId="328B4136" w14:textId="77777777" w:rsidR="004C3CBF" w:rsidRDefault="00177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KONWERSATORIUM (K):</w:t>
            </w:r>
          </w:p>
          <w:p w14:paraId="328B4137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Historia seksuologii jako dyscypliny – analiza rozwoju głównych nurtów i obszarów badań.</w:t>
            </w:r>
          </w:p>
          <w:p w14:paraId="328B4138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Seksualność człowieka – składowe i determinanty; ujęcia biologiczne, psychologiczne, społeczne i kulturowe.</w:t>
            </w:r>
          </w:p>
          <w:p w14:paraId="328B4139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Zdrowie seksualne – interpretacja pojęcia; popęd seksualny (komponenty i uwarunkowania) oraz fizjologia reakcji seksualnej kobiet i mężczyzn.</w:t>
            </w:r>
          </w:p>
          <w:p w14:paraId="328B413A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Tożsamość seksualna i identyfikacja płciowa – analiza uwarunkowań i konsekwencji psychospołecznych.</w:t>
            </w:r>
          </w:p>
          <w:p w14:paraId="328B413B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Orientacje psychoseksualne i zróżnicowanie doświadczeń (w tym zagadnienia LGBTQ+); aktywność i preferencje seksualne; biologia prokreacji w ujęciu seksuologicznym.</w:t>
            </w:r>
          </w:p>
          <w:p w14:paraId="328B413C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Prawa seksualne – geneza i uwarunkowania realizacji; wymagania dotyczące zawodu seksuologa (kształcenie, kompetencje, uprawnienia) – interpretacja standardów.</w:t>
            </w:r>
          </w:p>
          <w:p w14:paraId="328B413D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Specyfika pracy seksuologa – role zawodowe, granice kompetencji, współpraca interdyscyplinarna.</w:t>
            </w:r>
          </w:p>
          <w:p w14:paraId="328B413E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Etyka w praktyce seksuologicznej oraz etyczne aspekty badań naukowych w seksuologii – analiza dylematów i standardów postępowania.</w:t>
            </w:r>
          </w:p>
          <w:p w14:paraId="328B413F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Seksualność współczesnych Polaków – krytyczna analiza wyników badań i sposobów ich interpretacji.</w:t>
            </w:r>
          </w:p>
          <w:p w14:paraId="328B4140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Przemoc seksualna wobec osób dorosłych i dzieci – typy przemocy, mechanizmy i wskaźniki wykorzystywania; implikacje dla profilaktyki i wsparcia.</w:t>
            </w:r>
          </w:p>
          <w:p w14:paraId="328B4141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Seksualność osób z niepełnosprawnością intelektualną i fizyczną – możliwości i ograniczenia w zaspokajaniu potrzeb seksualnych; analiza barier i dobrych praktyk.</w:t>
            </w:r>
          </w:p>
          <w:p w14:paraId="328B4142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Rozwój psychoseksualny człowieka – periodyzacja; rozwój psychoseksualny dzieci: normatywne i nienormatywne formy aktywności seksualnej; krytyczna ocena kryteriów normy w seksuologii (klasyfikacje, typologie).</w:t>
            </w:r>
          </w:p>
          <w:p w14:paraId="328B4143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Seksualność młodzieży – dojrzewanie, inicjacja seksualna i jej uwarunkowania; analiza czynników ryzyka i ochronnych w kontekście rozwoju psychoseksualnego oraz wpływu środowiska społeczno-kulturowego.</w:t>
            </w:r>
          </w:p>
          <w:p w14:paraId="328B4144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Ryzykowne zachowania seksualne – analiza typów zachowań ryzykownych, uwarunkowań biopsychospołecznych oraz konsekwencji zdrowotnych i psychospołecznych; krytyczna ocena działań profilaktycznych i edukacyjnych.</w:t>
            </w:r>
          </w:p>
          <w:p w14:paraId="328B4145" w14:textId="77777777" w:rsidR="004C3CBF" w:rsidRDefault="001772A4">
            <w:pPr>
              <w:numPr>
                <w:ilvl w:val="0"/>
                <w:numId w:val="2"/>
              </w:numPr>
              <w:spacing w:after="0" w:line="240" w:lineRule="auto"/>
              <w:ind w:left="625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Seksualność osób dorosłych i w podeszłym wieku – uwarunkowania biopsychospołeczne, zmienność potrzeb i funkcjonowania seksualnego w cyklu życia.</w:t>
            </w:r>
          </w:p>
        </w:tc>
      </w:tr>
      <w:tr w:rsidR="004C3CBF" w14:paraId="328B414C" w14:textId="77777777">
        <w:trPr>
          <w:trHeight w:val="1118"/>
          <w:jc w:val="center"/>
        </w:trPr>
        <w:tc>
          <w:tcPr>
            <w:tcW w:w="10291" w:type="dxa"/>
            <w:gridSpan w:val="11"/>
          </w:tcPr>
          <w:p w14:paraId="328B4147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328B4148" w14:textId="77777777" w:rsidR="004C3CBF" w:rsidRDefault="001772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Bancroft, J. (2011).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Seksualność człowieka</w:t>
            </w:r>
            <w:r>
              <w:rPr>
                <w:rFonts w:ascii="Times New Roman" w:eastAsia="Times New Roman" w:hAnsi="Times New Roman" w:cs="Times New Roman"/>
              </w:rPr>
              <w:t>. Elsevier Urban &amp; Partner.</w:t>
            </w:r>
          </w:p>
          <w:p w14:paraId="328B4149" w14:textId="77777777" w:rsidR="004C3CBF" w:rsidRDefault="001772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Beisert, M. (Red.).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Seksualność człowieka w cyklu życia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328B414A" w14:textId="77777777" w:rsidR="004C3CBF" w:rsidRDefault="001772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Buss, D. M. (2003).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Ewolucja pożądania</w:t>
            </w:r>
            <w:r>
              <w:rPr>
                <w:rFonts w:ascii="Times New Roman" w:eastAsia="Times New Roman" w:hAnsi="Times New Roman" w:cs="Times New Roman"/>
              </w:rPr>
              <w:t>. Gdańskie Wydawnictwo Psychologiczne.</w:t>
            </w:r>
          </w:p>
          <w:p w14:paraId="328B414B" w14:textId="77777777" w:rsidR="004C3CBF" w:rsidRDefault="001772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Kijak, R. I.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Seks i niepełnosprawność: Doświadczenia seksualne z niepełnosprawnością intelektualną</w:t>
            </w:r>
            <w:r>
              <w:rPr>
                <w:rFonts w:ascii="Times New Roman" w:eastAsia="Times New Roman" w:hAnsi="Times New Roman" w:cs="Times New Roman"/>
              </w:rPr>
              <w:t>. Oficyna Wydawnicza Impuls.</w:t>
            </w:r>
          </w:p>
        </w:tc>
      </w:tr>
      <w:tr w:rsidR="004C3CBF" w14:paraId="328B415C" w14:textId="77777777">
        <w:trPr>
          <w:trHeight w:val="1335"/>
          <w:jc w:val="center"/>
        </w:trPr>
        <w:tc>
          <w:tcPr>
            <w:tcW w:w="10291" w:type="dxa"/>
            <w:gridSpan w:val="11"/>
            <w:vAlign w:val="center"/>
          </w:tcPr>
          <w:p w14:paraId="328B414D" w14:textId="77777777" w:rsidR="004C3CBF" w:rsidRDefault="001772A4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uzupełniająca:</w:t>
            </w:r>
          </w:p>
          <w:p w14:paraId="328B414E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Augustyn, J. (2004).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Integracja seksualna: Przewodnik w poznawaniu i kształtowaniu własnej seksualności</w:t>
            </w:r>
            <w:r>
              <w:rPr>
                <w:rFonts w:ascii="Times New Roman" w:eastAsia="Times New Roman" w:hAnsi="Times New Roman" w:cs="Times New Roman"/>
              </w:rPr>
              <w:t>. Wydawnictwo WAM.</w:t>
            </w:r>
          </w:p>
          <w:p w14:paraId="328B414F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Beisert, M. (2004).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Kazirodztwo: Rodzice w roli sprawców</w:t>
            </w:r>
            <w:r>
              <w:rPr>
                <w:rFonts w:ascii="Times New Roman" w:eastAsia="Times New Roman" w:hAnsi="Times New Roman" w:cs="Times New Roman"/>
              </w:rPr>
              <w:t>. Wydawnictwo Naukowe Scholar.</w:t>
            </w:r>
          </w:p>
          <w:p w14:paraId="328B4150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Białas, M., &amp; Ruszkiewicz, D.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Oblicza miłości w pedagogice</w:t>
            </w:r>
            <w:r>
              <w:rPr>
                <w:rFonts w:ascii="Times New Roman" w:eastAsia="Times New Roman" w:hAnsi="Times New Roman" w:cs="Times New Roman"/>
              </w:rPr>
              <w:t>. Wyższa Szkoła Humanistyczno-Ekonomiczna.</w:t>
            </w:r>
          </w:p>
          <w:p w14:paraId="328B4151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Bancroft, J.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Human sexuality and its problems</w:t>
            </w:r>
            <w:r>
              <w:rPr>
                <w:rFonts w:ascii="Times New Roman" w:eastAsia="Times New Roman" w:hAnsi="Times New Roman" w:cs="Times New Roman"/>
              </w:rPr>
              <w:t xml:space="preserve"> (3rd ed.). Churchill Livingstone/Elsevier.</w:t>
            </w:r>
          </w:p>
          <w:p w14:paraId="328B4152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Cierpiałkowska, L., Turbaczewska-Brakoniecka, I., &amp; Groth, J. (Red.). (2018).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Seksualność i problemy seksualne z perspektywy psychodynamicznej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328B4153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Elliott, A.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Koncepcje „ja”</w:t>
            </w:r>
            <w:r>
              <w:rPr>
                <w:rFonts w:ascii="Times New Roman" w:eastAsia="Times New Roman" w:hAnsi="Times New Roman" w:cs="Times New Roman"/>
              </w:rPr>
              <w:t>. Sic!</w:t>
            </w:r>
          </w:p>
          <w:p w14:paraId="328B4154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Giddens, A.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Przemiany intymności: Seksualność, miłość i erotyzm we współczesnych społeczeństwach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328B4155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Glaser, D., &amp; Frosh, S. (1995).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Dziecko seksualnie wykorzystywane</w:t>
            </w:r>
            <w:r>
              <w:rPr>
                <w:rFonts w:ascii="Times New Roman" w:eastAsia="Times New Roman" w:hAnsi="Times New Roman" w:cs="Times New Roman"/>
              </w:rPr>
              <w:t>. Wydawnictwo Lekarskie PZWL.</w:t>
            </w:r>
          </w:p>
          <w:p w14:paraId="328B4156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Grzelak, S.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Profilaktyka ryzykownych zachowań seksualnych młodzieży: Aktualny stan badań na świecie i w Polsce</w:t>
            </w:r>
            <w:r>
              <w:rPr>
                <w:rFonts w:ascii="Times New Roman" w:eastAsia="Times New Roman" w:hAnsi="Times New Roman" w:cs="Times New Roman"/>
              </w:rPr>
              <w:t>. Wydawnictwo Naukowe Scholar.</w:t>
            </w:r>
          </w:p>
          <w:p w14:paraId="328B4157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Izdebski, Z.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Ryzykowna dekada: Seksualność Polaków w dobie HIV/AIDS. Studium porównawcze 1997–2001–2006</w:t>
            </w:r>
            <w:r>
              <w:rPr>
                <w:rFonts w:ascii="Times New Roman" w:eastAsia="Times New Roman" w:hAnsi="Times New Roman" w:cs="Times New Roman"/>
              </w:rPr>
              <w:t>. Uniwersytet Zielonogórski.</w:t>
            </w:r>
          </w:p>
          <w:p w14:paraId="328B4158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Izdebski, Z. (2010). Rozwój seksualny. W B. Woynarowska, A. Kowalewska, Z. Izdebski, &amp; K. Komosińska (Red.),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Biomedyczne podstawy kształcenia i wychowania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328B4159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Jaczewski, A. (2006). Seks osób w wieku podeszłym. W J. Rzepka (Red.),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Problematyka osób w wieku starszym</w:t>
            </w:r>
            <w:r>
              <w:rPr>
                <w:rFonts w:ascii="Times New Roman" w:eastAsia="Times New Roman" w:hAnsi="Times New Roman" w:cs="Times New Roman"/>
              </w:rPr>
              <w:t xml:space="preserve"> (s. 39–41). GWSP.</w:t>
            </w:r>
          </w:p>
          <w:p w14:paraId="328B415A" w14:textId="77777777" w:rsidR="004C3CBF" w:rsidRDefault="001772A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Kurczewski, J. M.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Praktyki cielesne</w:t>
            </w:r>
            <w:r>
              <w:rPr>
                <w:rFonts w:ascii="Times New Roman" w:eastAsia="Times New Roman" w:hAnsi="Times New Roman" w:cs="Times New Roman"/>
              </w:rPr>
              <w:t>. TRIO Wydawnictwo.</w:t>
            </w:r>
          </w:p>
          <w:p w14:paraId="328B415B" w14:textId="77777777" w:rsidR="004C3CBF" w:rsidRDefault="001772A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Zwoliński, A.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Seksualność w relacjach społecznych</w:t>
            </w:r>
            <w:r>
              <w:rPr>
                <w:rFonts w:ascii="Times New Roman" w:eastAsia="Times New Roman" w:hAnsi="Times New Roman" w:cs="Times New Roman"/>
              </w:rPr>
              <w:t>. Wydawnictwo WAM.</w:t>
            </w:r>
          </w:p>
        </w:tc>
      </w:tr>
      <w:tr w:rsidR="004C3CBF" w14:paraId="328B4160" w14:textId="77777777">
        <w:trPr>
          <w:trHeight w:val="567"/>
          <w:jc w:val="center"/>
        </w:trPr>
        <w:tc>
          <w:tcPr>
            <w:tcW w:w="10291" w:type="dxa"/>
            <w:gridSpan w:val="11"/>
            <w:vAlign w:val="center"/>
          </w:tcPr>
          <w:p w14:paraId="328B415D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Sposoby oceny (f – formująca, p – podsumowująca): </w:t>
            </w:r>
          </w:p>
          <w:p w14:paraId="328B415E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F1- Ocena aktywności na zajęciach - </w:t>
            </w:r>
            <w:r>
              <w:rPr>
                <w:rFonts w:ascii="Times New Roman" w:eastAsia="Times New Roman" w:hAnsi="Times New Roman" w:cs="Times New Roman"/>
              </w:rPr>
              <w:t>udział w dyskusji problemowej, analiza zagadnień i studiów przypadków, przygotowanie do zajęć oraz formułowanie i uzasadnianie wniosków w odniesieniu do omawianych treści.</w:t>
            </w:r>
          </w:p>
          <w:p w14:paraId="328B415F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– Egzamin ustny – </w:t>
            </w:r>
            <w:r>
              <w:rPr>
                <w:rFonts w:ascii="Times New Roman" w:eastAsia="Times New Roman" w:hAnsi="Times New Roman" w:cs="Times New Roman"/>
              </w:rPr>
              <w:t>odpowiedzi na pytania problemowe obejmujące treści konwersatorium i literaturę obowiązkową.</w:t>
            </w:r>
          </w:p>
        </w:tc>
      </w:tr>
      <w:tr w:rsidR="004C3CBF" w14:paraId="328B4163" w14:textId="77777777">
        <w:trPr>
          <w:trHeight w:val="572"/>
          <w:jc w:val="center"/>
        </w:trPr>
        <w:tc>
          <w:tcPr>
            <w:tcW w:w="5145" w:type="dxa"/>
            <w:gridSpan w:val="5"/>
            <w:shd w:val="clear" w:color="auto" w:fill="D0E0E3"/>
            <w:vAlign w:val="center"/>
          </w:tcPr>
          <w:p w14:paraId="328B4161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5146" w:type="dxa"/>
            <w:gridSpan w:val="6"/>
            <w:shd w:val="clear" w:color="auto" w:fill="D0E0E3"/>
            <w:vAlign w:val="center"/>
          </w:tcPr>
          <w:p w14:paraId="328B4162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4C3CBF" w14:paraId="328B416C" w14:textId="77777777">
        <w:trPr>
          <w:trHeight w:val="572"/>
          <w:jc w:val="center"/>
        </w:trPr>
        <w:tc>
          <w:tcPr>
            <w:tcW w:w="5145" w:type="dxa"/>
            <w:gridSpan w:val="5"/>
            <w:vAlign w:val="center"/>
          </w:tcPr>
          <w:p w14:paraId="328B4164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KONWERSATORIUM</w:t>
            </w:r>
          </w:p>
        </w:tc>
        <w:tc>
          <w:tcPr>
            <w:tcW w:w="5146" w:type="dxa"/>
            <w:gridSpan w:val="6"/>
            <w:vAlign w:val="center"/>
          </w:tcPr>
          <w:p w14:paraId="328B4165" w14:textId="77777777" w:rsidR="004C3CBF" w:rsidRDefault="001772A4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Warunkiem zaliczenia przedmiotu jest uzyskanie pozytywnej oceny z aktywności na zajęciach (F1) oraz zdanie egzaminu ustnego (P1). </w:t>
            </w:r>
          </w:p>
          <w:p w14:paraId="328B4166" w14:textId="77777777" w:rsidR="004C3CBF" w:rsidRDefault="001772A4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Aktywność (F1) obejmuje udział w dyskusji problemowej, analizę zagadnień i studiów przypadków, przygotowanie do zajęć oraz formułowanie i uzasadnianie wniosków w odniesieniu do omawianych treści. </w:t>
            </w:r>
          </w:p>
          <w:p w14:paraId="328B4167" w14:textId="77777777" w:rsidR="004C3CBF" w:rsidRDefault="001772A4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ustny (P1) polega na udzieleniu odpowiedzi na pytania problemowe obejmujące treści konwersatorium i literaturę obowiązkową; oceniane są w szczególności: poprawność merytoryczna, trafność analizy i interpretacji, umiejętność syntetyzowania treści oraz uzasadnianie stanowiska (z uwzględnieniem aspektów etycznych i prawnych omawianych na zajęciach).</w:t>
            </w:r>
          </w:p>
          <w:p w14:paraId="328B4168" w14:textId="77777777" w:rsidR="004C3CBF" w:rsidRDefault="001772A4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gzamin ustny (P1) – 60% oceny końcowej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8B4169" w14:textId="77777777" w:rsidR="004C3CBF" w:rsidRDefault="001772A4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Ocena P1 jest wyrażona w procentach (0–100%) na podstawie spełnienia powyższych kryteriów.</w:t>
            </w:r>
          </w:p>
          <w:p w14:paraId="328B416A" w14:textId="77777777" w:rsidR="004C3CBF" w:rsidRDefault="001772A4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Próg zdania P1: minimum 51%.</w:t>
            </w:r>
          </w:p>
          <w:p w14:paraId="328B416B" w14:textId="77777777" w:rsidR="004C3CBF" w:rsidRDefault="004C3CBF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6E" w14:textId="77777777">
        <w:trPr>
          <w:trHeight w:val="567"/>
          <w:jc w:val="center"/>
        </w:trPr>
        <w:tc>
          <w:tcPr>
            <w:tcW w:w="102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6D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4C3CBF" w14:paraId="328B4172" w14:textId="77777777">
        <w:trPr>
          <w:trHeight w:val="567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6F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70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71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4C3CBF" w14:paraId="328B4174" w14:textId="77777777">
        <w:trPr>
          <w:trHeight w:val="349"/>
          <w:jc w:val="center"/>
        </w:trPr>
        <w:tc>
          <w:tcPr>
            <w:tcW w:w="102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28B4173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KONWERSATORIUM</w:t>
            </w:r>
          </w:p>
        </w:tc>
      </w:tr>
      <w:tr w:rsidR="004C3CBF" w14:paraId="328B4179" w14:textId="77777777">
        <w:trPr>
          <w:trHeight w:val="985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5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6" w14:textId="77777777" w:rsidR="004C3CBF" w:rsidRDefault="001772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wiedzę dotyczącą seksualności człowieka i jej komponentów oraz rozwoju psychoseksualnego w cyklu życia; analizuje i interpretuje specyfikę poszczególnych faz rozwojowych w kontekście zdrowia seksualnego. Formułuje wnioski/rekomendacje na podstawie analizy danych i literatury,</w:t>
            </w: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7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K_W09</w:t>
            </w:r>
          </w:p>
          <w:p w14:paraId="328B4178" w14:textId="77777777" w:rsidR="004C3CBF" w:rsidRDefault="004C3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C3CBF" w14:paraId="328B417D" w14:textId="77777777">
        <w:trPr>
          <w:trHeight w:val="546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A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B" w14:textId="77777777" w:rsidR="004C3CBF" w:rsidRDefault="001772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Wyszukuje, analizuje i selekcjonuje informacje dotyczące sposobów manifestowania i zaspokajania potrzeb seksualnych oraz interpretuje je z uwzględnieniem uwarunkowań rozwojowych i społeczno-kulturowych.</w:t>
            </w: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C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K_U15</w:t>
            </w:r>
          </w:p>
        </w:tc>
      </w:tr>
      <w:tr w:rsidR="004C3CBF" w14:paraId="328B4181" w14:textId="77777777">
        <w:trPr>
          <w:trHeight w:val="546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E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E1_K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7F" w14:textId="77777777" w:rsidR="004C3CBF" w:rsidRDefault="001772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 do odpowiedzialnego wykorzystania wiedzy seksuologicznej w działaniach edukacyjnych i profilaktycznych wspierających zdrowie i rozwój psychoseksualny, z poszanowaniem praw człowieka oraz zasad etyki.</w:t>
            </w: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80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K_K11</w:t>
            </w:r>
          </w:p>
        </w:tc>
      </w:tr>
      <w:tr w:rsidR="004C3CBF" w14:paraId="328B4183" w14:textId="77777777">
        <w:trPr>
          <w:trHeight w:val="567"/>
          <w:jc w:val="center"/>
        </w:trPr>
        <w:tc>
          <w:tcPr>
            <w:tcW w:w="102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2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4C3CBF" w14:paraId="328B418A" w14:textId="77777777">
        <w:trPr>
          <w:trHeight w:val="567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4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5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6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7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8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89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4C3CBF" w14:paraId="328B4192" w14:textId="77777777">
        <w:trPr>
          <w:trHeight w:val="638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8B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8C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K_W09</w:t>
            </w:r>
          </w:p>
          <w:p w14:paraId="328B418D" w14:textId="77777777" w:rsidR="004C3CBF" w:rsidRDefault="004C3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8E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8F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K1-K5, K12-K15</w:t>
            </w:r>
          </w:p>
        </w:tc>
        <w:tc>
          <w:tcPr>
            <w:tcW w:w="1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0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1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C3CBF" w14:paraId="328B4199" w14:textId="77777777">
        <w:trPr>
          <w:trHeight w:val="638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3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4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K_U15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5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6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K2-K5, K9, K11-K15</w:t>
            </w:r>
          </w:p>
        </w:tc>
        <w:tc>
          <w:tcPr>
            <w:tcW w:w="1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7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8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C3CBF" w14:paraId="328B41A0" w14:textId="77777777">
        <w:trPr>
          <w:trHeight w:val="638"/>
          <w:jc w:val="center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A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B" w14:textId="77777777" w:rsidR="004C3CBF" w:rsidRDefault="00177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K_K11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C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D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K6-K8, K10, K14</w:t>
            </w:r>
          </w:p>
        </w:tc>
        <w:tc>
          <w:tcPr>
            <w:tcW w:w="1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E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B419F" w14:textId="77777777" w:rsidR="004C3CBF" w:rsidRDefault="001772A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4C3CBF" w14:paraId="328B41A2" w14:textId="77777777">
        <w:trPr>
          <w:trHeight w:val="567"/>
          <w:jc w:val="center"/>
        </w:trPr>
        <w:tc>
          <w:tcPr>
            <w:tcW w:w="102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1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4C3CBF" w14:paraId="328B41A6" w14:textId="77777777">
        <w:trPr>
          <w:trHeight w:val="480"/>
          <w:jc w:val="center"/>
        </w:trPr>
        <w:tc>
          <w:tcPr>
            <w:tcW w:w="3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3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4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3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5" w14:textId="77777777" w:rsidR="004C3CBF" w:rsidRDefault="00177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4C3CBF" w14:paraId="328B41AB" w14:textId="77777777">
        <w:trPr>
          <w:trHeight w:val="480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7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8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9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8B41AA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4C3CBF" w14:paraId="328B41B0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AC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37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AD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AE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AF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B5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1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2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3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4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BA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6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7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8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9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BF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B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C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D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BE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C4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0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1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2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3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C9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5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6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7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8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4C3CBF" w14:paraId="328B41CE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A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B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C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D" w14:textId="77777777" w:rsidR="004C3CBF" w:rsidRDefault="004C3C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C3CBF" w14:paraId="328B41D3" w14:textId="77777777">
        <w:trPr>
          <w:trHeight w:val="567"/>
          <w:jc w:val="center"/>
        </w:trPr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CF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Konsultacje</w:t>
            </w:r>
          </w:p>
        </w:tc>
        <w:tc>
          <w:tcPr>
            <w:tcW w:w="37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0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1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2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C3CBF" w14:paraId="328B41D8" w14:textId="77777777">
        <w:trPr>
          <w:trHeight w:val="567"/>
          <w:jc w:val="center"/>
        </w:trPr>
        <w:tc>
          <w:tcPr>
            <w:tcW w:w="3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4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5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6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7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</w:tr>
      <w:tr w:rsidR="004C3CBF" w14:paraId="328B41DD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9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A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B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C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4C3CBF" w14:paraId="328B41E2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E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DF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0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1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C3CBF" w14:paraId="328B41E7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3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4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5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6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C3CBF" w14:paraId="328B41EC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8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9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A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B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C3CBF" w14:paraId="328B41F1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D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E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EF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0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C3CBF" w14:paraId="328B41F6" w14:textId="77777777">
        <w:trPr>
          <w:trHeight w:val="567"/>
          <w:jc w:val="center"/>
        </w:trPr>
        <w:tc>
          <w:tcPr>
            <w:tcW w:w="3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2" w14:textId="77777777" w:rsidR="004C3CBF" w:rsidRDefault="004C3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3" w14:textId="77777777" w:rsidR="004C3CBF" w:rsidRDefault="001772A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4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5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C3CBF" w14:paraId="328B41FA" w14:textId="77777777">
        <w:trPr>
          <w:trHeight w:val="567"/>
          <w:jc w:val="center"/>
        </w:trPr>
        <w:tc>
          <w:tcPr>
            <w:tcW w:w="71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28B41F7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8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9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</w:tr>
      <w:tr w:rsidR="004C3CBF" w14:paraId="328B41FD" w14:textId="77777777">
        <w:trPr>
          <w:trHeight w:val="567"/>
          <w:jc w:val="center"/>
        </w:trPr>
        <w:tc>
          <w:tcPr>
            <w:tcW w:w="71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28B41FB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3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B41FC" w14:textId="77777777" w:rsidR="004C3CBF" w:rsidRDefault="001772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328B41FE" w14:textId="77777777" w:rsidR="004C3CBF" w:rsidRDefault="004C3C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328B41FF" w14:textId="77777777" w:rsidR="004C3CBF" w:rsidRDefault="004C3C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4C3CBF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18B4" w14:textId="77777777" w:rsidR="001772A4" w:rsidRDefault="001772A4">
      <w:pPr>
        <w:spacing w:after="0" w:line="240" w:lineRule="auto"/>
      </w:pPr>
      <w:r>
        <w:separator/>
      </w:r>
    </w:p>
  </w:endnote>
  <w:endnote w:type="continuationSeparator" w:id="0">
    <w:p w14:paraId="318E3486" w14:textId="77777777" w:rsidR="001772A4" w:rsidRDefault="0017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FFC52683-299F-8149-8BC1-6BB96AF1AD2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390479BB-8010-BF49-A635-77288701AD21}"/>
    <w:embedBold r:id="rId4" w:fontKey="{9EEA7520-0D2D-C946-9053-96CAFBC5E7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C54AA53-4332-6D46-9037-3A2963BE8481}"/>
    <w:embedBold r:id="rId6" w:fontKey="{7523ACE1-24E1-BB47-B3EA-DE98F5DFC70A}"/>
    <w:embedItalic r:id="rId7" w:fontKey="{FE7AD8E7-3489-1C4E-9EB3-8D01ADCD0203}"/>
    <w:embedBoldItalic r:id="rId8" w:fontKey="{205C6872-65BD-BE40-AF24-613C7515023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E91A781C-30F9-C243-859E-A61C11B8E6BA}"/>
    <w:embedBold r:id="rId10" w:fontKey="{762BCF32-E6D6-8342-837B-A5B54933C60B}"/>
    <w:embedItalic r:id="rId11" w:fontKey="{01DB9488-1DCF-B647-B0AA-236D35156C1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2" w:fontKey="{91C1910B-C362-C04A-9853-44A27A4E5026}"/>
    <w:embedBold r:id="rId13" w:fontKey="{9357EACA-6599-2C46-A06A-839A0813E30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4" w:fontKey="{21568EF7-FD3B-CB40-B005-FDCA3030FFD4}"/>
    <w:embedBold r:id="rId15" w:fontKey="{4640DFFF-AC5B-B74D-B342-F3FB19A828E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DDD9281F-B582-8347-B10C-211DA9EDD4F7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8" w:fontKey="{53B27F6C-8D09-ED4D-99DF-E6FF4BE75FA3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9" w:fontKey="{11A7A23E-54BD-C749-B5FA-DD4CCE1C11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4202" w14:textId="5670D497" w:rsidR="004C3CBF" w:rsidRDefault="001772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7555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28B4203" w14:textId="77777777" w:rsidR="004C3CBF" w:rsidRDefault="004C3C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0ECE" w14:textId="77777777" w:rsidR="001772A4" w:rsidRDefault="001772A4">
      <w:pPr>
        <w:spacing w:after="0" w:line="240" w:lineRule="auto"/>
      </w:pPr>
      <w:r>
        <w:separator/>
      </w:r>
    </w:p>
  </w:footnote>
  <w:footnote w:type="continuationSeparator" w:id="0">
    <w:p w14:paraId="4F6E2174" w14:textId="77777777" w:rsidR="001772A4" w:rsidRDefault="00177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617E"/>
    <w:multiLevelType w:val="multilevel"/>
    <w:tmpl w:val="D3B44C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4A0D59"/>
    <w:multiLevelType w:val="multilevel"/>
    <w:tmpl w:val="A88CA26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E03765"/>
    <w:multiLevelType w:val="multilevel"/>
    <w:tmpl w:val="9D58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4C33B15"/>
    <w:multiLevelType w:val="multilevel"/>
    <w:tmpl w:val="90604FE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901D4"/>
    <w:multiLevelType w:val="multilevel"/>
    <w:tmpl w:val="AD08BB08"/>
    <w:lvl w:ilvl="0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pStyle w:val="CMSHeadL7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262999">
    <w:abstractNumId w:val="1"/>
  </w:num>
  <w:num w:numId="2" w16cid:durableId="164824266">
    <w:abstractNumId w:val="4"/>
  </w:num>
  <w:num w:numId="3" w16cid:durableId="1788425269">
    <w:abstractNumId w:val="3"/>
  </w:num>
  <w:num w:numId="4" w16cid:durableId="182745250">
    <w:abstractNumId w:val="0"/>
  </w:num>
  <w:num w:numId="5" w16cid:durableId="411511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BF"/>
    <w:rsid w:val="001772A4"/>
    <w:rsid w:val="004C3CBF"/>
    <w:rsid w:val="0096533C"/>
    <w:rsid w:val="00C7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8B410A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Nagwek8">
    <w:name w:val="heading 8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1Znak">
    <w:name w:val="Nagłówek 1 Znak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rsid w:val="009D490C"/>
    <w:rPr>
      <w:rFonts w:ascii="Arial" w:eastAsia="Times New Roman" w:hAnsi="Arial"/>
      <w:b/>
      <w:bCs/>
      <w:sz w:val="22"/>
      <w:szCs w:val="22"/>
      <w:lang w:val="x-none" w:eastAsia="x-none"/>
    </w:rPr>
  </w:style>
  <w:style w:type="character" w:customStyle="1" w:styleId="Nagwek3Znak">
    <w:name w:val="Nagłówek 3 Znak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rsid w:val="009D490C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rsid w:val="009D490C"/>
    <w:rPr>
      <w:vertAlign w:val="superscript"/>
    </w:rPr>
  </w:style>
  <w:style w:type="paragraph" w:styleId="Tekstprzypisukocowego">
    <w:name w:val="endnote text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rsid w:val="009D490C"/>
    <w:rPr>
      <w:sz w:val="16"/>
      <w:szCs w:val="16"/>
    </w:rPr>
  </w:style>
  <w:style w:type="paragraph" w:customStyle="1" w:styleId="xl151">
    <w:name w:val="xl151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 w:eastAsia="x-none"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uiPriority w:val="99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sid w:val="003517EB"/>
  </w:style>
  <w:style w:type="character" w:customStyle="1" w:styleId="h1">
    <w:name w:val="h1"/>
    <w:rsid w:val="00475B2F"/>
  </w:style>
  <w:style w:type="paragraph" w:customStyle="1" w:styleId="Akapitbezwcicia">
    <w:name w:val="Akapit bez wcięcia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sid w:val="00D80617"/>
  </w:style>
  <w:style w:type="character" w:styleId="Uwydatnienie">
    <w:name w:val="Emphasis"/>
    <w:uiPriority w:val="20"/>
    <w:qFormat/>
    <w:rsid w:val="00D80617"/>
    <w:rPr>
      <w:i/>
      <w:iCs/>
    </w:rPr>
  </w:style>
  <w:style w:type="character" w:customStyle="1" w:styleId="desc-o-b-rest">
    <w:name w:val="desc-o-b-rest"/>
    <w:rsid w:val="00D80617"/>
  </w:style>
  <w:style w:type="character" w:customStyle="1" w:styleId="desc-o-publ">
    <w:name w:val="desc-o-publ"/>
    <w:rsid w:val="00D80617"/>
  </w:style>
  <w:style w:type="paragraph" w:customStyle="1" w:styleId="Akapitzlist1">
    <w:name w:val="Akapit z listą1"/>
    <w:rsid w:val="00A64BA4"/>
    <w:pPr>
      <w:ind w:left="720"/>
      <w:contextualSpacing/>
    </w:pPr>
    <w:rPr>
      <w:rFonts w:eastAsia="Times New Roman"/>
    </w:rPr>
  </w:style>
  <w:style w:type="character" w:customStyle="1" w:styleId="Bodytext2">
    <w:name w:val="Body text (2)_"/>
    <w:link w:val="Bodytext20"/>
    <w:rsid w:val="00126D0C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sid w:val="00126D0C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 (2)"/>
    <w:link w:val="Bodytext2"/>
    <w:rsid w:val="00126D0C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 w:eastAsia="x-none"/>
    </w:rPr>
  </w:style>
  <w:style w:type="paragraph" w:customStyle="1" w:styleId="Bezodstpw1">
    <w:name w:val="Bez odstępów1"/>
    <w:rsid w:val="00126D0C"/>
    <w:pPr>
      <w:suppressAutoHyphens/>
    </w:pPr>
    <w:rPr>
      <w:lang w:eastAsia="ar-SA"/>
    </w:rPr>
  </w:style>
  <w:style w:type="character" w:customStyle="1" w:styleId="name">
    <w:name w:val="name"/>
    <w:basedOn w:val="Domylnaczcionkaakapitu"/>
    <w:rsid w:val="007106F9"/>
  </w:style>
  <w:style w:type="character" w:customStyle="1" w:styleId="Bodytext2Bold">
    <w:name w:val="Body text (2) + Bold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Bodytext2BoldSpacing3pt">
    <w:name w:val="Body text (2) + Bold;Spacing 3 pt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customStyle="1" w:styleId="Tekstpodstawowy21">
    <w:name w:val="Tekst podstawowy 21"/>
    <w:rsid w:val="005F44AD"/>
    <w:pPr>
      <w:suppressAutoHyphens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link w:val="BezodstpwZnak"/>
    <w:uiPriority w:val="1"/>
    <w:qFormat/>
    <w:rsid w:val="005F44AD"/>
    <w:rPr>
      <w:lang w:eastAsia="en-US"/>
    </w:rPr>
  </w:style>
  <w:style w:type="character" w:customStyle="1" w:styleId="BezodstpwZnak">
    <w:name w:val="Bez odstępów Znak"/>
    <w:link w:val="Bezodstpw"/>
    <w:uiPriority w:val="1"/>
    <w:locked/>
    <w:rsid w:val="005F44AD"/>
    <w:rPr>
      <w:sz w:val="22"/>
      <w:szCs w:val="22"/>
      <w:lang w:eastAsia="en-US" w:bidi="ar-SA"/>
    </w:rPr>
  </w:style>
  <w:style w:type="paragraph" w:customStyle="1" w:styleId="Tre">
    <w:name w:val="Treść"/>
    <w:rsid w:val="00DA01D9"/>
    <w:pPr>
      <w:shd w:val="clear" w:color="auto" w:fill="FFFFFF"/>
      <w:spacing w:line="100" w:lineRule="atLeast"/>
    </w:pPr>
    <w:rPr>
      <w:rFonts w:ascii="Helvetica Neue" w:eastAsia="Arial Unicode MS" w:hAnsi="Helvetica Neue" w:cs="Arial Unicode MS"/>
      <w:color w:val="000000"/>
      <w:kern w:val="1"/>
      <w:u w:color="000000"/>
      <w:lang w:eastAsia="hi-IN" w:bidi="hi-IN"/>
    </w:rPr>
  </w:style>
  <w:style w:type="numbering" w:customStyle="1" w:styleId="WWNum7">
    <w:name w:val="WWNum7"/>
    <w:rsid w:val="00123FFA"/>
  </w:style>
  <w:style w:type="paragraph" w:styleId="Podtytu">
    <w:name w:val="Subtitle"/>
    <w:basedOn w:val="Normalny"/>
    <w:next w:val="Normalny"/>
    <w:uiPriority w:val="11"/>
    <w:qFormat/>
    <w:pPr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dAiQlJ2HXQ20QDH02N2wxTaZMw==">CgMxLjA4AHIhMWhRY0ZMVnBBZzhGSmloMExva3hlUjJ2VDhPLUM2VUZh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57721C1-CCC8-40B4-93E4-93F84EE0B29E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3.xml><?xml version="1.0" encoding="utf-8"?>
<ds:datastoreItem xmlns:ds="http://schemas.openxmlformats.org/officeDocument/2006/customXml" ds:itemID="{66E9D06C-73B5-4E35-822D-17992B2EFD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D9D86-5053-4798-A838-4FE967626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1361</Words>
  <Characters>8170</Characters>
  <Application>Microsoft Office Word</Application>
  <DocSecurity>0</DocSecurity>
  <Lines>68</Lines>
  <Paragraphs>19</Paragraphs>
  <ScaleCrop>false</ScaleCrop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Daria Marzec</cp:lastModifiedBy>
  <cp:revision>2</cp:revision>
  <dcterms:created xsi:type="dcterms:W3CDTF">2026-02-23T17:26:00Z</dcterms:created>
  <dcterms:modified xsi:type="dcterms:W3CDTF">2026-04-09T09:27:00Z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