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4EEFE" w14:textId="77777777" w:rsidR="00E23FC5" w:rsidRDefault="00E23FC5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01"/>
        <w:gridCol w:w="359"/>
        <w:gridCol w:w="32"/>
        <w:gridCol w:w="912"/>
      </w:tblGrid>
      <w:tr w:rsidR="00E23FC5" w14:paraId="7373F03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B14A15" w14:textId="77777777" w:rsidR="00E23FC5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E23FC5" w14:paraId="75FDA8A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D3D0CA" w14:textId="77777777" w:rsidR="00E23FC5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E23FC5" w14:paraId="76D3168A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AFAC3" w14:textId="77777777" w:rsidR="00E23FC5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CF66" w14:textId="77777777" w:rsidR="00E23FC5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4ACB5D9C" w14:textId="77777777" w:rsidR="00E23FC5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 w:rsidR="00E23FC5" w14:paraId="02B415F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A96A" w14:textId="77777777" w:rsidR="00E23FC5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E23FC5" w14:paraId="1679916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38A9" w14:textId="77777777" w:rsidR="00E23FC5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E23FC5" w14:paraId="2BD3730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AE285" w14:textId="77777777" w:rsidR="00E23FC5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1260EF92" w14:textId="77777777" w:rsidR="00E23FC5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E23FC5" w14:paraId="7814FAA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9F1B0B5" w14:textId="77777777" w:rsidR="00E23FC5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KLINICZNE BADANIA OSOBOWOŚCI</w:t>
            </w:r>
          </w:p>
        </w:tc>
      </w:tr>
      <w:tr w:rsidR="00E23FC5" w14:paraId="4DCC1EA1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A067" w14:textId="77777777" w:rsidR="00E23FC5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05D37C71" w14:textId="77777777" w:rsidR="00E23FC5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1D59B98B" w14:textId="77777777" w:rsidR="00E23FC5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C1</w:t>
            </w:r>
            <w:r>
              <w:rPr>
                <w:sz w:val="22"/>
                <w:szCs w:val="22"/>
              </w:rPr>
              <w:t xml:space="preserve"> Pogłębienie wiedzy o specyfice i dynamice relacji między psychologiem a pacjentem w procesie diagnozy klinicznej zaburzeń osobowości. </w:t>
            </w:r>
          </w:p>
          <w:p w14:paraId="162FCFB5" w14:textId="77777777" w:rsidR="00E23FC5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</w:t>
            </w:r>
            <w:r>
              <w:rPr>
                <w:sz w:val="22"/>
                <w:szCs w:val="22"/>
              </w:rPr>
              <w:t xml:space="preserve"> Pogłębienie wiedzy o współczesnych modelach rozumienia, diagnozy i różnicowania zaburzeń osobowości. </w:t>
            </w:r>
          </w:p>
          <w:p w14:paraId="43400DCC" w14:textId="77777777" w:rsidR="00E23FC5" w:rsidRDefault="00E23FC5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</w:p>
          <w:p w14:paraId="0B5E2A0C" w14:textId="77777777" w:rsidR="00E23FC5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Ćwiczenia:</w:t>
            </w:r>
          </w:p>
          <w:p w14:paraId="367FC728" w14:textId="77777777" w:rsidR="00E23FC5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C1 </w:t>
            </w:r>
            <w:r>
              <w:rPr>
                <w:color w:val="000000"/>
                <w:sz w:val="22"/>
                <w:szCs w:val="22"/>
                <w:lang w:val="pl"/>
              </w:rPr>
              <w:t xml:space="preserve">Doskonalenie umiejętności diagnozy psychologicznej zaburzeń osobowości. </w:t>
            </w:r>
          </w:p>
          <w:p w14:paraId="5F08173B" w14:textId="77777777" w:rsidR="00E23FC5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C2</w:t>
            </w:r>
            <w:r>
              <w:rPr>
                <w:color w:val="000000"/>
                <w:sz w:val="22"/>
                <w:szCs w:val="22"/>
              </w:rPr>
              <w:t xml:space="preserve"> Doskonalenie umiejętności rozpoznawania znaczenia objawów występujących u pacjenta w kontekście etiologii zaburzenia osobowości. </w:t>
            </w:r>
          </w:p>
          <w:p w14:paraId="54701A22" w14:textId="77777777" w:rsidR="00E23FC5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C3</w:t>
            </w:r>
            <w:r>
              <w:rPr>
                <w:color w:val="000000"/>
                <w:sz w:val="22"/>
                <w:szCs w:val="22"/>
              </w:rPr>
              <w:t xml:space="preserve"> Doskonalenie umiejętności profesjonalnego reagowania w kontakcie z pacjentem z diagnozą zaburzenia osobowości. </w:t>
            </w:r>
          </w:p>
          <w:p w14:paraId="6BA7732D" w14:textId="77777777" w:rsidR="00E23FC5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stosowania zróżnicowanych metod pracy z pacjentem z zaburzeniem osobowości. </w:t>
            </w:r>
          </w:p>
          <w:p w14:paraId="11FA639C" w14:textId="77777777" w:rsidR="00E23FC5" w:rsidRDefault="00000000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pl"/>
              </w:rPr>
              <w:t>C5</w:t>
            </w:r>
            <w:r>
              <w:rPr>
                <w:color w:val="000000"/>
                <w:sz w:val="22"/>
                <w:szCs w:val="22"/>
                <w:lang w:val="pl"/>
              </w:rPr>
              <w:t xml:space="preserve"> Rozwijanie umiejętności krytycznej analizy i formułowania interwencji podczas pracy z pacjentem z zaburzeniami osobowości. </w:t>
            </w:r>
          </w:p>
        </w:tc>
      </w:tr>
      <w:tr w:rsidR="00E23FC5" w14:paraId="15B2981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E0DA" w14:textId="77777777" w:rsidR="00E23FC5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Metody badania osobowości I, Metody badania osobowości II</w:t>
            </w:r>
          </w:p>
          <w:p w14:paraId="1E21E749" w14:textId="77777777" w:rsidR="00E23FC5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warsztaty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Metody badania osobowości I, Metody badania osobowości II</w:t>
            </w:r>
          </w:p>
        </w:tc>
      </w:tr>
      <w:tr w:rsidR="00E23FC5" w14:paraId="6EFAD58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EA8" w14:textId="77777777" w:rsidR="00E23FC5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7D2222DB" w14:textId="77777777" w:rsidR="00E23FC5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21A02744" w14:textId="77777777" w:rsidR="00E23FC5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180F3159" w14:textId="77777777" w:rsidR="00E23FC5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znajomość teoretyczną dotyczącą kryteriów diagnostycznych zaburzeń osobowości.</w:t>
            </w:r>
          </w:p>
          <w:p w14:paraId="19E4EE6A" w14:textId="77777777" w:rsidR="00E23FC5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4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osobowościowego.</w:t>
            </w:r>
          </w:p>
          <w:p w14:paraId="7E9B0C21" w14:textId="77777777" w:rsidR="00E23FC5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pomocy psychologicznej oraz rozumie znaczenie współpracy interdyscyplinarnej w tym procesie.</w:t>
            </w:r>
          </w:p>
          <w:p w14:paraId="1D2D53F6" w14:textId="77777777" w:rsidR="00E23FC5" w:rsidRDefault="00E23FC5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</w:p>
        </w:tc>
      </w:tr>
      <w:tr w:rsidR="00E23FC5" w14:paraId="7D2DDFA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F7EE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097D2A53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21CD62DC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5F5647F2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0C12E755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 pacjentów z zaburzeniami osobowości</w:t>
            </w:r>
          </w:p>
          <w:p w14:paraId="4C41683E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0448ED7E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7CCB9B84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2A19FF41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42623475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4C835028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zaburzeniami osobowości</w:t>
            </w:r>
          </w:p>
          <w:p w14:paraId="64A6FEB2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7585EFA4" w14:textId="77777777" w:rsidR="00E23FC5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dla warsztatów: </w:t>
            </w:r>
          </w:p>
          <w:p w14:paraId="2E4765E2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041C59F5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 osobowości</w:t>
            </w:r>
          </w:p>
          <w:p w14:paraId="4EB3D116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636924F6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53BBE7C1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6AB6B0A6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w przypadku zaburzeń osobowości</w:t>
            </w:r>
          </w:p>
          <w:p w14:paraId="7DA3D2D4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10DBF8E4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warsztatów:</w:t>
            </w:r>
          </w:p>
          <w:p w14:paraId="61E80FA1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Zanonimizowana dokumentacja medyczna pacjentów z zaburzeniami osobowości</w:t>
            </w:r>
          </w:p>
          <w:p w14:paraId="1EAC744C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Przykładowe opinie psychologiczne dotyczące osobowości</w:t>
            </w:r>
          </w:p>
          <w:p w14:paraId="58F65529" w14:textId="77777777" w:rsidR="00E23FC5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Narzędzia diagnostyczne</w:t>
            </w:r>
          </w:p>
        </w:tc>
      </w:tr>
      <w:tr w:rsidR="00E23FC5" w14:paraId="1AAA7F0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2119" w14:textId="77777777" w:rsidR="00E23FC5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 kształcenia (treści nauczania)  </w:t>
            </w:r>
          </w:p>
          <w:p w14:paraId="280499AB" w14:textId="77777777" w:rsidR="00E23FC5" w:rsidRDefault="00E23FC5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538809F0" w14:textId="77777777" w:rsidR="00E23FC5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24F22DB5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 </w:t>
            </w:r>
            <w:r>
              <w:rPr>
                <w:rFonts w:ascii="Times New Roman" w:hAnsi="Times New Roman"/>
                <w:lang w:val="pl"/>
              </w:rPr>
              <w:t>Klasyfikacje zaburzeń osobowości</w:t>
            </w:r>
          </w:p>
          <w:p w14:paraId="79D03358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lang w:val="pl"/>
              </w:rPr>
              <w:t>Modele diagnozy zaburzeń osobowości</w:t>
            </w:r>
          </w:p>
          <w:p w14:paraId="434EB8D2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>
              <w:rPr>
                <w:rFonts w:ascii="Times New Roman" w:hAnsi="Times New Roman"/>
                <w:lang w:val="pl"/>
              </w:rPr>
              <w:t>Wybrane problemy diagnozy osobowości</w:t>
            </w:r>
          </w:p>
          <w:p w14:paraId="3E1521E3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>
              <w:rPr>
                <w:rFonts w:ascii="Times New Roman" w:hAnsi="Times New Roman"/>
                <w:lang w:val="pl"/>
              </w:rPr>
              <w:t>Hipoteza w diagnozie osobowości (weryfikacja, wybór paradygmatu, rozumienie etiologii zaburzeń)</w:t>
            </w:r>
          </w:p>
          <w:p w14:paraId="4BC1D3E3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T5</w:t>
            </w:r>
            <w:r>
              <w:rPr>
                <w:rFonts w:ascii="Times New Roman" w:hAnsi="Times New Roman"/>
                <w:lang w:val="pl"/>
              </w:rPr>
              <w:t>. Narzędzia diagnostyczne (dobór, opis, zakres zastosowania)</w:t>
            </w:r>
          </w:p>
          <w:p w14:paraId="65EA7DCF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T6 </w:t>
            </w:r>
            <w:r>
              <w:rPr>
                <w:rFonts w:ascii="Times New Roman" w:hAnsi="Times New Roman"/>
                <w:lang w:val="pl"/>
              </w:rPr>
              <w:t xml:space="preserve">Pomocnicze procesy diagnostyczne zaburzeń osobowości (obserwowane zachowania w sytuacji badania, obserwacja </w:t>
            </w:r>
            <w:proofErr w:type="spellStart"/>
            <w:r>
              <w:rPr>
                <w:rFonts w:ascii="Times New Roman" w:hAnsi="Times New Roman"/>
                <w:lang w:val="pl"/>
              </w:rPr>
              <w:t>zachowań</w:t>
            </w:r>
            <w:proofErr w:type="spellEnd"/>
            <w:r>
              <w:rPr>
                <w:rFonts w:ascii="Times New Roman" w:hAnsi="Times New Roman"/>
                <w:lang w:val="pl"/>
              </w:rPr>
              <w:t xml:space="preserve"> w Kontaktach społecznych, wywiad w kontekście kulturowym/ religijnym; przeniesienie i </w:t>
            </w:r>
            <w:proofErr w:type="spellStart"/>
            <w:r>
              <w:rPr>
                <w:rFonts w:ascii="Times New Roman" w:hAnsi="Times New Roman"/>
                <w:lang w:val="pl"/>
              </w:rPr>
              <w:t>przeciwprzeniesienie</w:t>
            </w:r>
            <w:proofErr w:type="spellEnd"/>
            <w:r>
              <w:rPr>
                <w:rFonts w:ascii="Times New Roman" w:hAnsi="Times New Roman"/>
                <w:lang w:val="pl"/>
              </w:rPr>
              <w:t xml:space="preserve"> w sytuacji diagnozy)</w:t>
            </w:r>
          </w:p>
          <w:p w14:paraId="6FE95FF0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T7 </w:t>
            </w:r>
            <w:r>
              <w:rPr>
                <w:rFonts w:ascii="Times New Roman" w:hAnsi="Times New Roman"/>
                <w:lang w:val="pl"/>
              </w:rPr>
              <w:t>Zaburzenia osobowości opis procedury badania. Rola bezpiecznej relacji w diagnostyce. Etyka w procedurze badania.</w:t>
            </w:r>
          </w:p>
          <w:p w14:paraId="6712700C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T8 </w:t>
            </w:r>
            <w:r>
              <w:rPr>
                <w:rFonts w:ascii="Times New Roman" w:hAnsi="Times New Roman"/>
                <w:lang w:val="pl"/>
              </w:rPr>
              <w:t>Diagnoza kliniczna osobowości (zakres, zastosowanie)</w:t>
            </w:r>
          </w:p>
          <w:p w14:paraId="496171EC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deskryptywna</w:t>
            </w:r>
          </w:p>
          <w:p w14:paraId="3A5C4459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eksploracyjna</w:t>
            </w:r>
          </w:p>
          <w:p w14:paraId="00B6ED77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prognostyczna</w:t>
            </w:r>
          </w:p>
          <w:p w14:paraId="04C0ADA0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projekt zmian</w:t>
            </w:r>
          </w:p>
          <w:p w14:paraId="6ED179DD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T9</w:t>
            </w:r>
            <w:r>
              <w:rPr>
                <w:rFonts w:ascii="Times New Roman" w:hAnsi="Times New Roman"/>
                <w:lang w:val="pl"/>
              </w:rPr>
              <w:t xml:space="preserve"> Rozumienie zaburzeń osobowości w różnych koncepcjach teoretycznych w kontekście diagnozy klinicznej</w:t>
            </w:r>
          </w:p>
          <w:p w14:paraId="753CF519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paradygmat poznawczy</w:t>
            </w:r>
          </w:p>
          <w:p w14:paraId="3E93AA8E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 xml:space="preserve">- paradygmat </w:t>
            </w:r>
            <w:proofErr w:type="spellStart"/>
            <w:r>
              <w:rPr>
                <w:rFonts w:ascii="Times New Roman" w:hAnsi="Times New Roman"/>
                <w:lang w:val="pl"/>
              </w:rPr>
              <w:t>psychodynamiczny</w:t>
            </w:r>
            <w:proofErr w:type="spellEnd"/>
          </w:p>
          <w:p w14:paraId="4202E7C5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paradygmat humanistyczny</w:t>
            </w:r>
          </w:p>
          <w:p w14:paraId="048256C6" w14:textId="77777777" w:rsidR="00E23FC5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T10 </w:t>
            </w:r>
            <w:r>
              <w:rPr>
                <w:rFonts w:ascii="Times New Roman" w:hAnsi="Times New Roman"/>
                <w:lang w:val="pl"/>
              </w:rPr>
              <w:t>Zaburzenia osobowości (klasyfikacja i różnicowanie w oparciu o opisy przypadków; wskazówki diagnostyczne)</w:t>
            </w:r>
          </w:p>
          <w:p w14:paraId="1747941E" w14:textId="77777777" w:rsidR="00E23FC5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  <w:p w14:paraId="300A007E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lastRenderedPageBreak/>
              <w:t xml:space="preserve">T1 </w:t>
            </w:r>
            <w:r>
              <w:rPr>
                <w:rFonts w:ascii="Times New Roman" w:hAnsi="Times New Roman"/>
                <w:lang w:val="pl"/>
              </w:rPr>
              <w:t>Zaburzenia osobowości (klasyfikacja i różnicowanie w oparciu o opisy przypadków; wskazówki diagnostyczne)</w:t>
            </w:r>
          </w:p>
          <w:p w14:paraId="0AC1A117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T2 </w:t>
            </w:r>
            <w:r>
              <w:rPr>
                <w:rFonts w:ascii="Times New Roman" w:hAnsi="Times New Roman"/>
                <w:lang w:val="pl"/>
              </w:rPr>
              <w:t>Organiczne zaburzenia osobowości</w:t>
            </w:r>
          </w:p>
          <w:p w14:paraId="414DB57D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opisy przypadków (diagnoza różnicowa)</w:t>
            </w:r>
          </w:p>
          <w:p w14:paraId="5D3856D9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T3 </w:t>
            </w:r>
            <w:r>
              <w:rPr>
                <w:rFonts w:ascii="Times New Roman" w:hAnsi="Times New Roman"/>
                <w:lang w:val="pl"/>
              </w:rPr>
              <w:t xml:space="preserve">Zaburzenia osobowości w kontekście norm </w:t>
            </w:r>
            <w:proofErr w:type="spellStart"/>
            <w:r>
              <w:rPr>
                <w:rFonts w:ascii="Times New Roman" w:hAnsi="Times New Roman"/>
                <w:lang w:val="pl"/>
              </w:rPr>
              <w:t>społeczno</w:t>
            </w:r>
            <w:proofErr w:type="spellEnd"/>
            <w:r>
              <w:rPr>
                <w:rFonts w:ascii="Times New Roman" w:hAnsi="Times New Roman"/>
                <w:lang w:val="pl"/>
              </w:rPr>
              <w:t xml:space="preserve"> - kulturowych</w:t>
            </w:r>
          </w:p>
          <w:p w14:paraId="5568A5E3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 xml:space="preserve">T4 </w:t>
            </w:r>
            <w:r>
              <w:rPr>
                <w:rFonts w:ascii="Times New Roman" w:hAnsi="Times New Roman"/>
                <w:lang w:val="pl"/>
              </w:rPr>
              <w:t>Etapy diagnozy osobowości</w:t>
            </w:r>
          </w:p>
          <w:p w14:paraId="2AB0D440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źródła danych o pacjencie </w:t>
            </w:r>
          </w:p>
          <w:p w14:paraId="5CCB6C79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opis i hipotezy wyjaśniające etiologię zaburzeń</w:t>
            </w:r>
          </w:p>
          <w:p w14:paraId="030D33E7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weryfikacja hipotez w oparciu o wybrany model teorii osobowości </w:t>
            </w:r>
          </w:p>
          <w:p w14:paraId="2C8CE582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hAnsi="Times New Roman"/>
                <w:lang w:val="pl"/>
              </w:rPr>
              <w:t>- prognoza</w:t>
            </w:r>
          </w:p>
          <w:p w14:paraId="344D75BC" w14:textId="77777777" w:rsidR="00E23FC5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pl"/>
              </w:rPr>
              <w:t>T5</w:t>
            </w:r>
            <w:r>
              <w:rPr>
                <w:rFonts w:ascii="Times New Roman" w:hAnsi="Times New Roman"/>
                <w:lang w:val="pl"/>
              </w:rPr>
              <w:t xml:space="preserve"> Projektowanie i realizacja pełnego opisu diagnozy zaburzeń osobowości (studium przypadku)</w:t>
            </w:r>
          </w:p>
        </w:tc>
      </w:tr>
      <w:tr w:rsidR="00E23FC5" w14:paraId="75409FA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A95B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27E5D22A" w14:textId="77777777" w:rsidR="00E23FC5" w:rsidRDefault="00E23FC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6BC6163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73F0DB6B" w14:textId="77777777" w:rsidR="00E23FC5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Cierpiałkowska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L., Sęk H. (red.), Psychologia kliniczna, Warszawa 2019.</w:t>
            </w:r>
          </w:p>
          <w:p w14:paraId="7A1E8A82" w14:textId="77777777" w:rsidR="00E23FC5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Oleś P.K.,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Drat-Ruszczak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K., Osobowość (T. 1, r. 8 s. 651-764). W: J.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Strelau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, D. Doliński (red.), Psychologia. Podręcznik akademicki. Gdańsk 2018.</w:t>
            </w:r>
          </w:p>
          <w:p w14:paraId="00B49A23" w14:textId="77777777" w:rsidR="00E23FC5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Sęk H. (red.), Psychologia kliniczna. T. 1-2, Warszawa 2013.</w:t>
            </w:r>
          </w:p>
          <w:p w14:paraId="2B89DC66" w14:textId="77777777" w:rsidR="00E23FC5" w:rsidRDefault="00E23FC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2D90AEC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3B84EB38" w14:textId="77777777" w:rsidR="00E23FC5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Cervone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D., </w:t>
            </w: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Pervin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L.A., Osobowość. Teoria i badania. Kraków 2011.</w:t>
            </w:r>
          </w:p>
        </w:tc>
      </w:tr>
      <w:tr w:rsidR="00E23FC5" w14:paraId="7BE6BE3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C17A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01C0503F" w14:textId="77777777" w:rsidR="00E23FC5" w:rsidRDefault="00E23FC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9D33C14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47B4B823" w14:textId="77777777" w:rsidR="00E23FC5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Eller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J.D., Antropologia kulturowa. Globalne siły, lokalne światy, Kraków 2012.</w:t>
            </w:r>
          </w:p>
          <w:p w14:paraId="7B0904A2" w14:textId="77777777" w:rsidR="00E23FC5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Klimasiński K., Elementy psychopatologii i psychologii klinicznej, Kraków 2000.</w:t>
            </w:r>
          </w:p>
          <w:p w14:paraId="2403A69A" w14:textId="77777777" w:rsidR="00E23FC5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Radochoński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M., Osobowość antyspołeczna, Rzeszów 2009.</w:t>
            </w:r>
          </w:p>
          <w:p w14:paraId="3B1B1D37" w14:textId="77777777" w:rsidR="00E23FC5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Stemplewska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-Żakowicz K., Diagnoza psychologiczna. Diagnozowanie jako kompetencja profesjonalna. Gdański 2019</w:t>
            </w:r>
          </w:p>
          <w:p w14:paraId="1A3C9475" w14:textId="77777777" w:rsidR="00E23FC5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21181F4D" w14:textId="77777777" w:rsidR="00E23FC5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Zawadzki B., Kwestionariusze osobowości. Strategie i procedura konstruowania, Warszawa 2006.</w:t>
            </w:r>
          </w:p>
          <w:p w14:paraId="35759BCC" w14:textId="77777777" w:rsidR="00E23FC5" w:rsidRDefault="00000000">
            <w:pPr>
              <w:pStyle w:val="Akapitzlist"/>
              <w:widowControl w:val="0"/>
              <w:numPr>
                <w:ilvl w:val="0"/>
                <w:numId w:val="5"/>
              </w:numPr>
              <w:rPr>
                <w:sz w:val="22"/>
                <w:szCs w:val="22"/>
              </w:rPr>
            </w:pPr>
            <w:proofErr w:type="spellStart"/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>McWilliams</w:t>
            </w:r>
            <w:proofErr w:type="spellEnd"/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 xml:space="preserve"> N., Diagnoza psychoanalityczna, Gdańsk 2019.</w:t>
            </w:r>
          </w:p>
        </w:tc>
      </w:tr>
      <w:tr w:rsidR="00E23FC5" w14:paraId="465F6418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D4842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2469F002" w14:textId="77777777" w:rsidR="00E23FC5" w:rsidRDefault="00000000">
            <w:pPr>
              <w:pStyle w:val="NormalnyWeb"/>
              <w:widowControl w:val="0"/>
              <w:spacing w:before="280" w:beforeAutospacing="0" w:after="0" w:afterAutospacing="0"/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0F294303" w14:textId="77777777" w:rsidR="00E23FC5" w:rsidRDefault="00000000">
            <w:pPr>
              <w:pStyle w:val="NormalnyWeb"/>
              <w:widowControl w:val="0"/>
              <w:spacing w:before="28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3CFC8C1A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studium przypadku (80%).</w:t>
            </w:r>
          </w:p>
          <w:p w14:paraId="3F979C42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36526F83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ĆWICZENIA: </w:t>
            </w:r>
          </w:p>
          <w:p w14:paraId="138CBEC6" w14:textId="77777777" w:rsidR="00E23FC5" w:rsidRDefault="00000000">
            <w:pPr>
              <w:pStyle w:val="NormalnyWeb"/>
              <w:widowControl w:val="0"/>
              <w:spacing w:before="28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(50%).</w:t>
            </w:r>
          </w:p>
          <w:p w14:paraId="197F5EAA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Ocena pracy w symulacji klinicznej (50%).</w:t>
            </w:r>
          </w:p>
        </w:tc>
      </w:tr>
      <w:tr w:rsidR="00E23FC5" w14:paraId="7F973964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8FB95F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8C74462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E23FC5" w14:paraId="4B229413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B0B4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7564E17F" w14:textId="77777777" w:rsidR="00E23FC5" w:rsidRDefault="00E23FC5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CBDC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3D38812D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ćwiczeń</w:t>
            </w:r>
          </w:p>
          <w:p w14:paraId="3BC07569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616523B8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00183D3D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297CD0FF" w14:textId="53F888B6" w:rsidR="00E23FC5" w:rsidRPr="00F3684A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760EE2DB" w14:textId="3CF9BDF1" w:rsidR="00E23FC5" w:rsidRPr="00F3684A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Praca egzaminacyjna</w:t>
            </w:r>
          </w:p>
          <w:p w14:paraId="3421E937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lastRenderedPageBreak/>
              <w:t>Kryteria ocen:</w:t>
            </w:r>
          </w:p>
          <w:p w14:paraId="13FCADFD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5FAB6F91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4EE3F168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19B0F38E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347C6115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zachowana jest ogólna logika i poprawność.</w:t>
            </w:r>
          </w:p>
          <w:p w14:paraId="22A53BF2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37F97A2C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78D0B9DB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Pojawiają się umiarkowane braki i błędy.</w:t>
            </w:r>
          </w:p>
          <w:p w14:paraId="7A76F885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41291129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 w14:paraId="5F841BB3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074C2AE3" w14:textId="3C308F91" w:rsidR="00E23FC5" w:rsidRPr="00F3684A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znajomość prezentowanych treści nauczania. W miarę poprawnie analizuje zagadnienia. 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 używa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specjalistycznych pojęć. Widoczne są wyraźne braki w wiedzy teoretycznej.</w:t>
            </w:r>
          </w:p>
          <w:p w14:paraId="1015EAE2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33E09E38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 w:rsidR="00E23FC5" w14:paraId="5342CE05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76C8E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ĆWICZENIA: </w:t>
            </w:r>
          </w:p>
          <w:p w14:paraId="342C3A49" w14:textId="77777777" w:rsidR="00E23FC5" w:rsidRDefault="00E23FC5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CCED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5BF661BC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0998DFA1" w14:textId="143E7C3B" w:rsidR="00E23FC5" w:rsidRPr="00F3684A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>ocena scenki symulacyjnej z udziałem studenta</w:t>
            </w:r>
          </w:p>
          <w:p w14:paraId="48C7EBCB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38ADAF73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7A30AD69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38797ECB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28021015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 w14:paraId="722FC367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popełnia jedynie nieznaczne błędy.</w:t>
            </w:r>
          </w:p>
          <w:p w14:paraId="2D683517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11C971C6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781E782B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43F4EF26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poprawnie analizuje treści i formułuje ogólne wnioski. Student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zporadycznie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stosuje specjalistyczne pojęcia. Wnioski oraz rekomendacje studenta wymagają doprecyzowania.</w:t>
            </w:r>
          </w:p>
          <w:p w14:paraId="26876371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32FEA956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6EB3266D" w14:textId="77777777" w:rsidR="00E23FC5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69D609CC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Opracowanie bez umiejętności wykorzystania fachowych pojęć. Brak 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umiejętności wykorzystania w praktyce wiedzy zawartej w literaturze.  Wnioski studenta są powierzchowne i niewystarczająco uzasadnione. Efekty uczenia się nie zostały osiągnięte.</w:t>
            </w:r>
          </w:p>
        </w:tc>
      </w:tr>
      <w:tr w:rsidR="00E23FC5" w14:paraId="4CAB170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E679C5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58DA603E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E23FC5" w14:paraId="6B45C480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9EF541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F33A1AC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CDFBE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E23FC5" w14:paraId="5940C855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5ECE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EBDD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eastAsia="Times New Roman" w:hAnsi="Times New Roman" w:cs="Calibri"/>
                <w:color w:val="000000" w:themeColor="text1"/>
                <w:lang w:eastAsia="ru-RU"/>
              </w:rPr>
              <w:t>a pogłębioną wiedzę o teoriach osobowości oraz mechanizmach rozwoju, strukturze i zaburzeniach osobowości w ujęciu klinicznym.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4DD6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K_W05</w:t>
            </w:r>
          </w:p>
        </w:tc>
      </w:tr>
      <w:tr w:rsidR="00E23FC5" w14:paraId="610323B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524A8F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E23FC5" w14:paraId="48223A34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7E268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98FD56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3B7C20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158DBA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EAD197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777075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E23FC5" w14:paraId="321ED9A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1FC6EA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E23FC5" w14:paraId="3F1C3024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6D14" w14:textId="77777777" w:rsidR="00E23FC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910D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K_W05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37211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E7EB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 T10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F206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86E0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E23FC5" w14:paraId="413FF99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6FBD2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54B8667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 w:rsidR="00E23FC5" w14:paraId="5157AA8A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E57C4B7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82281AA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ED520C9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E23FC5" w14:paraId="106B7999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66326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</w:rPr>
            </w:pPr>
            <w:r>
              <w:rPr>
                <w:rFonts w:ascii="Times New Roman" w:hAnsi="Times New Roman" w:cs="Calibri"/>
                <w:color w:val="000000"/>
              </w:rPr>
              <w:t>PKO_U02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7BAC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 xml:space="preserve">otrafi stosować metody i narzędzia diagnozy psychologicznej, interpretować ich wyniki oraz formułować wnioski diagnostyczne 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w oparciu o </w:t>
            </w:r>
            <w:r>
              <w:rPr>
                <w:rStyle w:val="Pogrubienie"/>
                <w:rFonts w:ascii="Times New Roman" w:eastAsiaTheme="majorEastAsia" w:hAnsi="Times New Roman" w:cs="Calibri"/>
                <w:b w:val="0"/>
                <w:bCs w:val="0"/>
                <w:lang w:eastAsia="ru-RU"/>
              </w:rPr>
              <w:t>aktualny stan wiedzy naukowej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>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371A5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K_U12 </w:t>
            </w:r>
          </w:p>
        </w:tc>
      </w:tr>
      <w:tr w:rsidR="00E23FC5" w14:paraId="084B0C00" w14:textId="77777777">
        <w:trPr>
          <w:trHeight w:val="671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48DF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PKO_U04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1D17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a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nalizuje mechanizmy funkcjonowania osobowości, w tym zaburzeń osobowości oraz interpretuje ich znaczenie dla funkcjonowania jednostki.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C575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 w:rsidR="00E23FC5" w14:paraId="692229F0" w14:textId="77777777">
        <w:trPr>
          <w:trHeight w:val="671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7FE1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PKO_K01 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AAFF" w14:textId="77777777" w:rsidR="00E23FC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jest gotów </w:t>
            </w:r>
            <w:r>
              <w:rPr>
                <w:rFonts w:ascii="Times New Roman" w:eastAsia="Times New Roman" w:hAnsi="Times New Roman" w:cs="Calibri"/>
                <w:lang w:eastAsia="ru-RU"/>
              </w:rPr>
              <w:t>do odpowiedzialnego podejmowania działań diagnostycznych i pomocowych w pracy psychologa, z zachowaniem zasad etyki zawodowej, w szczególności poufności, odpowiedzialności i poszanowania godności osoby badanej.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CF07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</w:tr>
      <w:tr w:rsidR="00E23FC5" w14:paraId="1B3F3EA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EAFD9B1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E23FC5" w14:paraId="2D98BECC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538753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7B6240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Odniesienie danego efektu do efektu </w:t>
            </w:r>
            <w:r>
              <w:rPr>
                <w:rFonts w:ascii="Times New Roman" w:hAnsi="Times New Roman"/>
              </w:rPr>
              <w:lastRenderedPageBreak/>
              <w:t>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752F0E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Odniesienie danego efektu do celu </w:t>
            </w:r>
            <w:r>
              <w:rPr>
                <w:rFonts w:ascii="Times New Roman" w:hAnsi="Times New Roman"/>
              </w:rPr>
              <w:lastRenderedPageBreak/>
              <w:t>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9B0507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1CA853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Odniesienie danego efektu do </w:t>
            </w:r>
            <w:r>
              <w:rPr>
                <w:rFonts w:ascii="Times New Roman" w:hAnsi="Times New Roman"/>
              </w:rPr>
              <w:lastRenderedPageBreak/>
              <w:t>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723644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Odniesienie danego </w:t>
            </w:r>
            <w:r>
              <w:rPr>
                <w:rFonts w:ascii="Times New Roman" w:hAnsi="Times New Roman"/>
              </w:rPr>
              <w:lastRenderedPageBreak/>
              <w:t>efektu do sposobów oceny</w:t>
            </w:r>
          </w:p>
        </w:tc>
      </w:tr>
      <w:tr w:rsidR="00E23FC5" w14:paraId="3D855A8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DC67C2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Umiejętności/Kompetencje</w:t>
            </w:r>
          </w:p>
        </w:tc>
      </w:tr>
      <w:tr w:rsidR="00E23FC5" w14:paraId="48F461BE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2A89" w14:textId="77777777" w:rsidR="00E23FC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</w:rPr>
            </w:pPr>
            <w:r>
              <w:rPr>
                <w:rFonts w:ascii="Times New Roman" w:hAnsi="Times New Roman" w:cs="Calibri"/>
                <w:color w:val="000000"/>
              </w:rPr>
              <w:t>PKO_U02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B1C5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3B0E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65BB2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83F8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A5CD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E23FC5" w14:paraId="555C6F4F" w14:textId="77777777">
        <w:trPr>
          <w:trHeight w:val="567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9FAC" w14:textId="77777777" w:rsidR="00E23FC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PKO_U04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67AC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K_U12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DF152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CDB4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300E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75BC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E23FC5" w14:paraId="574242BB" w14:textId="77777777">
        <w:trPr>
          <w:trHeight w:val="567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70483" w14:textId="77777777" w:rsidR="00E23FC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PKO_K01 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F520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96CE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C1, C2, C3, C4, C5 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2FEF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T1-T10 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A829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Mk1, Mk2, Mk3, Mk4, Mk5, Mk6, Mk7 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F98B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F1, P1 </w:t>
            </w:r>
          </w:p>
        </w:tc>
      </w:tr>
      <w:tr w:rsidR="00E23FC5" w14:paraId="3542199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406D5BB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E23FC5" w14:paraId="36EF841D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43DC613D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88B4184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15D556C" w14:textId="77777777" w:rsidR="00E23FC5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A2DC70" w14:textId="77777777" w:rsidR="00E23FC5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E23FC5" w14:paraId="6CDBF372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1DAC14B2" w14:textId="77777777" w:rsidR="00E23FC5" w:rsidRDefault="00E23F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6DA2A111" w14:textId="77777777" w:rsidR="00E23FC5" w:rsidRDefault="00E23F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309F00E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7F4B0BB2" w14:textId="77777777" w:rsidR="00E23FC5" w:rsidRDefault="00E23F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7D0C97DB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/>
            <w:vAlign w:val="center"/>
          </w:tcPr>
          <w:p w14:paraId="672AB7D9" w14:textId="77777777" w:rsidR="00E23FC5" w:rsidRDefault="00E23F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23FC5" w14:paraId="0B93DB20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740AB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8BB76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1FDC6174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72D5" w14:textId="77777777" w:rsidR="00E23FC5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07A95177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EDEB" w14:textId="77777777" w:rsidR="00E23FC5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</w:t>
            </w:r>
          </w:p>
          <w:p w14:paraId="7001FFDF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145C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23FC5" w14:paraId="19B15251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1BF6" w14:textId="77777777" w:rsidR="00E23FC5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F9531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570F" w14:textId="77777777" w:rsidR="00E23FC5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3637C79F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1EB31" w14:textId="77777777" w:rsidR="00E23FC5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1FD874C5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4655C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23FC5" w14:paraId="6B6533E6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A360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671B6B52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13A4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B2ECE" w14:textId="77777777" w:rsidR="00E23FC5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5F77" w14:textId="77777777" w:rsidR="00E23FC5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2EC5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E23FC5" w14:paraId="0E897B73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F3F8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3CD9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1CD0" w14:textId="77777777" w:rsidR="00E23FC5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1216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8426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23FC5" w14:paraId="2F2586B6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B5DB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6C8D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1678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CABE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AA00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23FC5" w14:paraId="0AF544B1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DBD3F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1FE85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DE59F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CC2C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6B6E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23FC5" w14:paraId="7C127E19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DE30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D7DE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2003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6EE0D" w14:textId="7A981B55" w:rsidR="00E23FC5" w:rsidRDefault="00AF03CD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00000">
              <w:rPr>
                <w:rFonts w:ascii="Times New Roman" w:hAnsi="Times New Roman"/>
              </w:rPr>
              <w:t>0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75631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23FC5" w14:paraId="37619E89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7F4A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C1D9C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E0E2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17A3" w14:textId="77777777" w:rsidR="00E23FC5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CABD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23FC5" w14:paraId="43FA93CD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BA7F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73F9" w14:textId="77777777" w:rsidR="00E23FC5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0F7E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2E2A" w14:textId="77777777" w:rsidR="00E23FC5" w:rsidRDefault="00E23FC5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CF7C" w14:textId="77777777" w:rsidR="00E23FC5" w:rsidRDefault="00E23FC5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23FC5" w14:paraId="1E99D6FE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04EB72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AC97BA8" w14:textId="77777777" w:rsidR="00E23FC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75</w:t>
            </w:r>
          </w:p>
        </w:tc>
      </w:tr>
      <w:tr w:rsidR="00E23FC5" w14:paraId="0019E479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ED9849A" w14:textId="77777777" w:rsidR="00E23FC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9C0AF82" w14:textId="77777777" w:rsidR="00E23FC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3</w:t>
            </w:r>
          </w:p>
        </w:tc>
      </w:tr>
    </w:tbl>
    <w:p w14:paraId="7C5EAC0D" w14:textId="77777777" w:rsidR="00E23FC5" w:rsidRDefault="00E23FC5">
      <w:pPr>
        <w:pStyle w:val="Akapitzlist"/>
        <w:ind w:left="360"/>
        <w:jc w:val="center"/>
        <w:rPr>
          <w:sz w:val="22"/>
          <w:szCs w:val="22"/>
        </w:rPr>
      </w:pPr>
    </w:p>
    <w:p w14:paraId="56FB7478" w14:textId="77777777" w:rsidR="00E23FC5" w:rsidRDefault="00E23FC5">
      <w:pPr>
        <w:pStyle w:val="Akapitzlist"/>
        <w:ind w:left="360"/>
        <w:jc w:val="center"/>
        <w:rPr>
          <w:sz w:val="22"/>
          <w:szCs w:val="22"/>
        </w:rPr>
      </w:pPr>
    </w:p>
    <w:p w14:paraId="07B00FEA" w14:textId="77777777" w:rsidR="00E23FC5" w:rsidRDefault="00E23FC5">
      <w:pPr>
        <w:pStyle w:val="Akapitzlist"/>
        <w:ind w:left="360"/>
        <w:jc w:val="center"/>
        <w:rPr>
          <w:sz w:val="22"/>
          <w:szCs w:val="22"/>
        </w:rPr>
      </w:pPr>
    </w:p>
    <w:sectPr w:rsidR="00E23FC5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E7D9" w14:textId="77777777" w:rsidR="008D77C0" w:rsidRDefault="008D77C0">
      <w:pPr>
        <w:spacing w:after="0" w:line="240" w:lineRule="auto"/>
      </w:pPr>
      <w:r>
        <w:separator/>
      </w:r>
    </w:p>
  </w:endnote>
  <w:endnote w:type="continuationSeparator" w:id="0">
    <w:p w14:paraId="21DFAC46" w14:textId="77777777" w:rsidR="008D77C0" w:rsidRDefault="008D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2C5F" w14:textId="77777777" w:rsidR="00E23FC5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8" behindDoc="1" locked="0" layoutInCell="0" allowOverlap="1" wp14:anchorId="58C20122" wp14:editId="25B2569C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5B16FAB" wp14:editId="4315DA86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7C0D" w14:textId="77777777" w:rsidR="008D77C0" w:rsidRDefault="008D77C0">
      <w:pPr>
        <w:spacing w:after="0" w:line="240" w:lineRule="auto"/>
      </w:pPr>
      <w:r>
        <w:separator/>
      </w:r>
    </w:p>
  </w:footnote>
  <w:footnote w:type="continuationSeparator" w:id="0">
    <w:p w14:paraId="0A3F12DE" w14:textId="77777777" w:rsidR="008D77C0" w:rsidRDefault="008D7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445B" w14:textId="77777777" w:rsidR="00E23FC5" w:rsidRDefault="00000000">
    <w:pPr>
      <w:pStyle w:val="Nagwek"/>
    </w:pPr>
    <w:r>
      <w:rPr>
        <w:noProof/>
      </w:rPr>
      <w:drawing>
        <wp:anchor distT="0" distB="0" distL="114300" distR="114300" simplePos="0" relativeHeight="22" behindDoc="1" locked="0" layoutInCell="0" allowOverlap="1" wp14:anchorId="75B93592" wp14:editId="5D491BF2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0A2"/>
    <w:multiLevelType w:val="multilevel"/>
    <w:tmpl w:val="B726D2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D1041C"/>
    <w:multiLevelType w:val="multilevel"/>
    <w:tmpl w:val="B616F2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8926E6"/>
    <w:multiLevelType w:val="multilevel"/>
    <w:tmpl w:val="015438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7891952"/>
    <w:multiLevelType w:val="multilevel"/>
    <w:tmpl w:val="23E46B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6EC1CA5"/>
    <w:multiLevelType w:val="multilevel"/>
    <w:tmpl w:val="593A68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54169242">
    <w:abstractNumId w:val="1"/>
  </w:num>
  <w:num w:numId="2" w16cid:durableId="1007634823">
    <w:abstractNumId w:val="0"/>
  </w:num>
  <w:num w:numId="3" w16cid:durableId="1703050031">
    <w:abstractNumId w:val="3"/>
  </w:num>
  <w:num w:numId="4" w16cid:durableId="784154392">
    <w:abstractNumId w:val="2"/>
  </w:num>
  <w:num w:numId="5" w16cid:durableId="83017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C5"/>
    <w:rsid w:val="008D77C0"/>
    <w:rsid w:val="00AF03CD"/>
    <w:rsid w:val="00B4250A"/>
    <w:rsid w:val="00E23FC5"/>
    <w:rsid w:val="00F3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96F63B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</Pages>
  <Words>1718</Words>
  <Characters>10310</Characters>
  <Application>Microsoft Office Word</Application>
  <DocSecurity>0</DocSecurity>
  <Lines>85</Lines>
  <Paragraphs>24</Paragraphs>
  <ScaleCrop>false</ScaleCrop>
  <Company>MRR</Company>
  <LinksUpToDate>false</LinksUpToDate>
  <CharactersWithSpaces>12004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Bożena Muchacka Collegium Humanum</cp:lastModifiedBy>
  <cp:revision>45</cp:revision>
  <cp:lastPrinted>2023-02-11T13:06:00Z</cp:lastPrinted>
  <dcterms:created xsi:type="dcterms:W3CDTF">2026-02-17T10:53:00Z</dcterms:created>
  <dcterms:modified xsi:type="dcterms:W3CDTF">2026-03-25T17:50:00Z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