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B9F5F" w14:textId="77777777" w:rsidR="001648C0" w:rsidRDefault="001648C0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31"/>
        <w:gridCol w:w="329"/>
        <w:gridCol w:w="32"/>
        <w:gridCol w:w="912"/>
      </w:tblGrid>
      <w:tr w:rsidR="001648C0" w14:paraId="451C6C1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8FE0BED" w14:textId="77777777" w:rsidR="001648C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1648C0" w14:paraId="1459231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6ADACF" w14:textId="77777777" w:rsidR="001648C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1648C0" w14:paraId="6690FDCA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43F23" w14:textId="77777777" w:rsidR="001648C0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FF60" w14:textId="77777777" w:rsidR="001648C0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6F4FE1A9" w14:textId="77777777" w:rsidR="001648C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Ćwiczenia</w:t>
            </w:r>
          </w:p>
        </w:tc>
      </w:tr>
      <w:tr w:rsidR="001648C0" w14:paraId="3718B77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0FB6" w14:textId="77777777" w:rsidR="001648C0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1648C0" w14:paraId="725D40F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73B2" w14:textId="77777777" w:rsidR="001648C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1648C0" w14:paraId="3D1A153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31521" w14:textId="77777777" w:rsidR="001648C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6B9E907E" w14:textId="77777777" w:rsidR="001648C0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1648C0" w14:paraId="6835660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CAC473B" w14:textId="77777777" w:rsidR="001648C0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PSYCHOLOGIA KLINICZNA DZIECI I MŁODZIEŻY</w:t>
            </w:r>
          </w:p>
        </w:tc>
      </w:tr>
      <w:tr w:rsidR="001648C0" w14:paraId="0318627F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A182" w14:textId="77777777" w:rsidR="001648C0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4B1BF44F" w14:textId="77777777" w:rsidR="001648C0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0A784CC0" w14:textId="77777777" w:rsidR="001648C0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C1 </w:t>
            </w:r>
            <w:r>
              <w:rPr>
                <w:sz w:val="22"/>
                <w:szCs w:val="22"/>
              </w:rPr>
              <w:t xml:space="preserve">Pogłębienie wiedzy z zakresu psychologii klinicznej dzieci i młodzieży, w tym objawów, uwarunkowań i mechanizmów zaburzeń psychicznych występujących w okresie rozwojowym. </w:t>
            </w:r>
          </w:p>
          <w:p w14:paraId="44251141" w14:textId="77777777" w:rsidR="001648C0" w:rsidRDefault="00000000">
            <w:pPr>
              <w:pStyle w:val="Tekstpodstawowy"/>
              <w:widowControl w:val="0"/>
              <w:spacing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C2 </w:t>
            </w:r>
            <w:r>
              <w:rPr>
                <w:sz w:val="22"/>
                <w:szCs w:val="22"/>
              </w:rPr>
              <w:t xml:space="preserve">Pogłębienie wiedzy o procesie diagnostycznym, interpretacji funkcjonowania psychicznego dziecka i adolescenta oraz o formach oddziaływań psychologicznych, terapeutycznych i wsparcia stosowanych w pomocy klinicznej. </w:t>
            </w:r>
          </w:p>
          <w:p w14:paraId="5D13CA98" w14:textId="77777777" w:rsidR="001648C0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Ćwiczenia:</w:t>
            </w:r>
          </w:p>
          <w:p w14:paraId="5B501D35" w14:textId="77777777" w:rsidR="001648C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Doskonalenie umiejętności reagowania w sytuacji ujawnienia myśli samobójczych u dziecka lub adolescenta. </w:t>
            </w:r>
          </w:p>
          <w:p w14:paraId="2B7D5AFD" w14:textId="77777777" w:rsidR="001648C0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Doskonalenie umiejętności doboru metod oddziaływania adekwatnych do obrazu klinicznego pacjenta. </w:t>
            </w:r>
          </w:p>
        </w:tc>
      </w:tr>
      <w:tr w:rsidR="001648C0" w14:paraId="3F491B3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759A8" w14:textId="77777777" w:rsidR="001648C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</w:rPr>
              <w:t xml:space="preserve">Psychologia rozwoju człowieka, Psychopatologia </w:t>
            </w:r>
            <w:r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388772BA" w14:textId="77777777" w:rsidR="001648C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ćwiczenia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hAnsi="Times New Roman"/>
              </w:rPr>
              <w:t xml:space="preserve">Psychologia rozwoju człowieka, Psychopatologia </w:t>
            </w:r>
            <w:r>
              <w:rPr>
                <w:rFonts w:ascii="Times New Roman" w:hAnsi="Times New Roman"/>
                <w:lang w:eastAsia="pl-PL"/>
              </w:rPr>
              <w:t xml:space="preserve"> </w:t>
            </w:r>
          </w:p>
        </w:tc>
      </w:tr>
      <w:tr w:rsidR="001648C0" w14:paraId="10E65C6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F2E9" w14:textId="77777777" w:rsidR="001648C0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09C1C93D" w14:textId="77777777" w:rsidR="001648C0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Ws1</w:t>
            </w:r>
            <w:r>
              <w:rPr>
                <w:sz w:val="22"/>
                <w:szCs w:val="22"/>
              </w:rPr>
              <w:t xml:space="preserve"> Student posiada wiedzę z zakresu psychologii rozwoju człowieka oraz psychopatologii.</w:t>
            </w:r>
          </w:p>
          <w:p w14:paraId="6A51CE8C" w14:textId="77777777" w:rsidR="001648C0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Ws2</w:t>
            </w:r>
            <w:r>
              <w:rPr>
                <w:sz w:val="22"/>
                <w:szCs w:val="22"/>
              </w:rPr>
              <w:t xml:space="preserve"> Student rozumie podstawowe pojęcia dotyczące funkcjonowania psychicznego człowieka, w tym procesów poznawczych, emocjonalnych i społecznych oraz ich rozwoju w ciągu życia.</w:t>
            </w:r>
          </w:p>
          <w:p w14:paraId="5F6DC333" w14:textId="77777777" w:rsidR="001648C0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Ws3</w:t>
            </w:r>
            <w:r>
              <w:rPr>
                <w:sz w:val="22"/>
                <w:szCs w:val="22"/>
              </w:rPr>
              <w:t xml:space="preserve"> Student potrafi analizować zachowanie człowieka w kontekście psychologicznym oraz wykazuje zdolność rozumienia zależności między funkcjonowaniem jednostki a wpływem środowiska.</w:t>
            </w:r>
          </w:p>
        </w:tc>
      </w:tr>
      <w:tr w:rsidR="001648C0" w14:paraId="66DD860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FCA9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2CB0DB67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problemowy</w:t>
            </w:r>
          </w:p>
          <w:p w14:paraId="17DDC993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>Analiza studium przypadku</w:t>
            </w:r>
          </w:p>
          <w:p w14:paraId="328AC6FF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Mk3 </w:t>
            </w:r>
            <w:r>
              <w:rPr>
                <w:rFonts w:ascii="Times New Roman" w:hAnsi="Times New Roman"/>
              </w:rPr>
              <w:t>Dyskusja dydaktyczna</w:t>
            </w:r>
          </w:p>
          <w:p w14:paraId="11010021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6E6E9D25" w14:textId="77777777" w:rsidR="001648C0" w:rsidRDefault="0000000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Pd1</w:t>
            </w:r>
            <w:r>
              <w:rPr>
                <w:rFonts w:ascii="Times New Roman" w:hAnsi="Times New Roman"/>
                <w:bCs/>
              </w:rPr>
              <w:t xml:space="preserve"> Materiały audiowizualne o charakterze dydaktycznym i klinicznym</w:t>
            </w:r>
          </w:p>
          <w:p w14:paraId="248F8642" w14:textId="77777777" w:rsidR="001648C0" w:rsidRDefault="0000000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Pd2</w:t>
            </w:r>
            <w:r>
              <w:rPr>
                <w:rFonts w:ascii="Times New Roman" w:hAnsi="Times New Roman"/>
                <w:bCs/>
              </w:rPr>
              <w:t xml:space="preserve"> Prezentacje multimedialne </w:t>
            </w:r>
          </w:p>
          <w:p w14:paraId="311E6885" w14:textId="77777777" w:rsidR="001648C0" w:rsidRDefault="0000000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Pd3</w:t>
            </w:r>
            <w:r>
              <w:rPr>
                <w:rFonts w:ascii="Times New Roman" w:hAnsi="Times New Roman"/>
                <w:bCs/>
              </w:rPr>
              <w:t xml:space="preserve"> Klasyfikacje diagnostyczne (ICD-11, DSM-5, PDM-2,3)</w:t>
            </w:r>
          </w:p>
          <w:p w14:paraId="769C8849" w14:textId="77777777" w:rsidR="001648C0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do ćwiczeń: </w:t>
            </w:r>
          </w:p>
          <w:p w14:paraId="6E254DC8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2825D5D6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psychologicznego</w:t>
            </w:r>
          </w:p>
          <w:p w14:paraId="4E894709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03770B60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ćwiczeń:</w:t>
            </w:r>
          </w:p>
          <w:p w14:paraId="08FC12F5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Opisy przypadków klinicznych  </w:t>
            </w:r>
          </w:p>
          <w:p w14:paraId="496FF381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Pd2</w:t>
            </w:r>
            <w:r>
              <w:rPr>
                <w:rFonts w:ascii="Times New Roman" w:hAnsi="Times New Roman"/>
                <w:bCs/>
              </w:rPr>
              <w:t xml:space="preserve"> Materiały źródłowe do analizy klinicznej</w:t>
            </w:r>
          </w:p>
        </w:tc>
      </w:tr>
      <w:tr w:rsidR="001648C0" w14:paraId="1509B63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EFDE" w14:textId="77777777" w:rsidR="001648C0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56DE075E" w14:textId="77777777" w:rsidR="001648C0" w:rsidRDefault="00000000">
            <w:pPr>
              <w:pStyle w:val="Bezodstpw"/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WYKŁAD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14:paraId="1ECD7452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</w:t>
            </w:r>
            <w:r>
              <w:rPr>
                <w:rFonts w:ascii="Times New Roman" w:hAnsi="Times New Roman"/>
                <w:bCs/>
                <w:color w:val="000000"/>
              </w:rPr>
              <w:t xml:space="preserve"> Teoretyczne podstawy psychologii klinicznej dzieci i młodzieży</w:t>
            </w:r>
          </w:p>
          <w:p w14:paraId="4AF43917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T2</w:t>
            </w:r>
            <w:r>
              <w:rPr>
                <w:rFonts w:ascii="Times New Roman" w:hAnsi="Times New Roman"/>
                <w:bCs/>
                <w:color w:val="000000"/>
              </w:rPr>
              <w:t xml:space="preserve"> Podstawy psychologicznej diagnozy klinicznej dzieci i młodzieży</w:t>
            </w:r>
          </w:p>
          <w:p w14:paraId="163F1641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T3</w:t>
            </w:r>
            <w:r>
              <w:rPr>
                <w:rFonts w:ascii="Times New Roman" w:hAnsi="Times New Roman"/>
                <w:bCs/>
                <w:color w:val="000000"/>
              </w:rPr>
              <w:t xml:space="preserve"> Etyczne aspekty diagnozy klinicznej dzieci i młodzieży</w:t>
            </w:r>
          </w:p>
          <w:p w14:paraId="0D456880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T4</w:t>
            </w:r>
            <w:r>
              <w:rPr>
                <w:rFonts w:ascii="Times New Roman" w:hAnsi="Times New Roman"/>
                <w:bCs/>
                <w:color w:val="000000"/>
              </w:rPr>
              <w:t xml:space="preserve"> Czynniki ryzyka rozwoju w okresie dzieciństwa i dorastania</w:t>
            </w:r>
          </w:p>
          <w:p w14:paraId="3AC6A269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T5</w:t>
            </w:r>
            <w:r>
              <w:rPr>
                <w:rFonts w:ascii="Times New Roman" w:hAnsi="Times New Roman"/>
                <w:bCs/>
                <w:color w:val="000000"/>
              </w:rPr>
              <w:t xml:space="preserve"> Czynniki genetyczne i konstytucjonalne </w:t>
            </w:r>
          </w:p>
          <w:p w14:paraId="71515A8D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T6</w:t>
            </w:r>
            <w:r>
              <w:rPr>
                <w:rFonts w:ascii="Times New Roman" w:hAnsi="Times New Roman"/>
                <w:bCs/>
                <w:color w:val="000000"/>
              </w:rPr>
              <w:t xml:space="preserve"> Podmiotowe oraz kontekstowe czynniki ryzyka</w:t>
            </w:r>
          </w:p>
          <w:p w14:paraId="590BCD34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T7</w:t>
            </w:r>
            <w:r>
              <w:rPr>
                <w:rFonts w:ascii="Times New Roman" w:hAnsi="Times New Roman"/>
                <w:bCs/>
                <w:color w:val="000000"/>
              </w:rPr>
              <w:t xml:space="preserve"> Metody i narzędzia psychologicznej diagnozy zaburzeń, metody i narzędzia psychologicznej diagnozy zaburzeń zachowania i emocji wieku rozwojowego oraz rozwoju umysłowego w kontekście niepełnosprawności intelektualnej. </w:t>
            </w:r>
          </w:p>
          <w:p w14:paraId="34CC3901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T8</w:t>
            </w:r>
            <w:r>
              <w:rPr>
                <w:rFonts w:ascii="Times New Roman" w:hAnsi="Times New Roman"/>
                <w:bCs/>
                <w:color w:val="000000"/>
              </w:rPr>
              <w:t xml:space="preserve"> Zaburzenia osobowości.</w:t>
            </w:r>
          </w:p>
          <w:p w14:paraId="19B3B189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T9</w:t>
            </w:r>
            <w:r>
              <w:rPr>
                <w:rFonts w:ascii="Times New Roman" w:hAnsi="Times New Roman"/>
                <w:bCs/>
                <w:color w:val="000000"/>
              </w:rPr>
              <w:t xml:space="preserve"> Zaburzenia rozwojowe dzieci i młodzieży</w:t>
            </w:r>
          </w:p>
          <w:p w14:paraId="1DAE83E7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T10</w:t>
            </w:r>
            <w:r>
              <w:rPr>
                <w:rFonts w:ascii="Times New Roman" w:hAnsi="Times New Roman"/>
                <w:bCs/>
                <w:color w:val="000000"/>
              </w:rPr>
              <w:t xml:space="preserve"> Zaburzenia emocjonalne dzieci i młodzieży</w:t>
            </w:r>
          </w:p>
          <w:p w14:paraId="4B06F20F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T11</w:t>
            </w:r>
            <w:r>
              <w:rPr>
                <w:rFonts w:ascii="Times New Roman" w:hAnsi="Times New Roman"/>
                <w:bCs/>
                <w:color w:val="000000"/>
              </w:rPr>
              <w:t xml:space="preserve"> Zaburzenia karmienia i jedzenia dzieci i młodzieży</w:t>
            </w:r>
          </w:p>
          <w:p w14:paraId="64810BAE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T12</w:t>
            </w:r>
            <w:r>
              <w:rPr>
                <w:rFonts w:ascii="Times New Roman" w:hAnsi="Times New Roman"/>
                <w:bCs/>
                <w:color w:val="000000"/>
              </w:rPr>
              <w:t xml:space="preserve"> Zaburzenia zachowania dzieci i młodzieży</w:t>
            </w:r>
          </w:p>
          <w:p w14:paraId="45A9F112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T13</w:t>
            </w:r>
            <w:r>
              <w:rPr>
                <w:rFonts w:ascii="Times New Roman" w:hAnsi="Times New Roman"/>
                <w:bCs/>
                <w:color w:val="000000"/>
              </w:rPr>
              <w:t xml:space="preserve"> Dysforia płciowa. </w:t>
            </w:r>
          </w:p>
          <w:p w14:paraId="239217BB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T14</w:t>
            </w:r>
            <w:r>
              <w:rPr>
                <w:rFonts w:ascii="Times New Roman" w:hAnsi="Times New Roman"/>
                <w:bCs/>
                <w:color w:val="000000"/>
              </w:rPr>
              <w:t xml:space="preserve"> Formy pomocy psychologicznej dla dzieci i młodzieży: działalność profilaktyczna, terapeutyczna, edukacyjna, interwencja w sytuacjach kryzysowych; formy pomocy, adresaci pomocy, osoby udzielające pomocy. Samoorganizacja i grupy samopomocowe. </w:t>
            </w:r>
          </w:p>
          <w:p w14:paraId="36A532C2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T15</w:t>
            </w:r>
            <w:r>
              <w:rPr>
                <w:rFonts w:ascii="Times New Roman" w:hAnsi="Times New Roman"/>
                <w:bCs/>
                <w:color w:val="000000"/>
              </w:rPr>
              <w:t xml:space="preserve"> Kwestie etyczne dotyczące pracy psychologa klinicznego dzieci i młodzieży.</w:t>
            </w:r>
          </w:p>
          <w:p w14:paraId="7A98FD70" w14:textId="77777777" w:rsidR="001648C0" w:rsidRDefault="001648C0">
            <w:pPr>
              <w:pStyle w:val="Bezodstpw"/>
              <w:widowControl w:val="0"/>
              <w:rPr>
                <w:rFonts w:ascii="Times New Roman" w:hAnsi="Times New Roman"/>
                <w:bCs/>
                <w:color w:val="000000"/>
              </w:rPr>
            </w:pPr>
          </w:p>
          <w:p w14:paraId="5A3F9E08" w14:textId="77777777" w:rsidR="001648C0" w:rsidRDefault="00000000">
            <w:pPr>
              <w:pStyle w:val="Bezodstpw"/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ĆWICZENIA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14:paraId="559E8BC5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</w:t>
            </w:r>
            <w:r>
              <w:rPr>
                <w:rFonts w:ascii="Times New Roman" w:hAnsi="Times New Roman"/>
                <w:bCs/>
                <w:color w:val="000000"/>
              </w:rPr>
              <w:t xml:space="preserve"> Dzieci z specyficznymi trudnościami w uczeniu się</w:t>
            </w:r>
          </w:p>
          <w:p w14:paraId="3E64EFDD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T2</w:t>
            </w:r>
            <w:r>
              <w:rPr>
                <w:rFonts w:ascii="Times New Roman" w:hAnsi="Times New Roman"/>
                <w:bCs/>
                <w:color w:val="000000"/>
              </w:rPr>
              <w:t xml:space="preserve"> Dzieci z chorobą nowotworową</w:t>
            </w:r>
          </w:p>
          <w:p w14:paraId="4152CF52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T3</w:t>
            </w:r>
            <w:r>
              <w:rPr>
                <w:rFonts w:ascii="Times New Roman" w:hAnsi="Times New Roman"/>
                <w:bCs/>
                <w:color w:val="000000"/>
              </w:rPr>
              <w:t xml:space="preserve"> Dzieci z niesprawnością fizyczną</w:t>
            </w:r>
          </w:p>
          <w:p w14:paraId="20E8550F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T4</w:t>
            </w:r>
            <w:r>
              <w:rPr>
                <w:rFonts w:ascii="Times New Roman" w:hAnsi="Times New Roman"/>
                <w:bCs/>
                <w:color w:val="000000"/>
              </w:rPr>
              <w:t xml:space="preserve"> Dzieci przewlekle chore somatycznie</w:t>
            </w:r>
          </w:p>
          <w:p w14:paraId="0C13D2E1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T5</w:t>
            </w:r>
            <w:r>
              <w:rPr>
                <w:rFonts w:ascii="Times New Roman" w:hAnsi="Times New Roman"/>
                <w:bCs/>
                <w:color w:val="000000"/>
              </w:rPr>
              <w:t xml:space="preserve"> Dzieci – ofiary i/lub świadkowie wypadków, katastrof i klęsk żywiołowych</w:t>
            </w:r>
          </w:p>
          <w:p w14:paraId="6F8DBE94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T6</w:t>
            </w:r>
            <w:r>
              <w:rPr>
                <w:rFonts w:ascii="Times New Roman" w:hAnsi="Times New Roman"/>
                <w:bCs/>
                <w:color w:val="000000"/>
              </w:rPr>
              <w:t xml:space="preserve"> Dzieci ze środowisk kulturowo zaniedbanych i niewydolnych wychowawczo</w:t>
            </w:r>
          </w:p>
          <w:p w14:paraId="2BD5207D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T7</w:t>
            </w:r>
            <w:r>
              <w:rPr>
                <w:rFonts w:ascii="Times New Roman" w:hAnsi="Times New Roman"/>
                <w:bCs/>
                <w:color w:val="000000"/>
              </w:rPr>
              <w:t xml:space="preserve"> Dzieci i młodzież a problem uzależnień.</w:t>
            </w:r>
          </w:p>
          <w:p w14:paraId="2A4C2478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T8</w:t>
            </w:r>
            <w:r>
              <w:rPr>
                <w:rFonts w:ascii="Times New Roman" w:hAnsi="Times New Roman"/>
                <w:bCs/>
                <w:color w:val="000000"/>
              </w:rPr>
              <w:t xml:space="preserve"> Skłonności samobójcze nastolatków.</w:t>
            </w:r>
          </w:p>
          <w:p w14:paraId="461FC6E4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T9</w:t>
            </w:r>
            <w:r>
              <w:rPr>
                <w:rFonts w:ascii="Times New Roman" w:hAnsi="Times New Roman"/>
                <w:bCs/>
                <w:color w:val="000000"/>
              </w:rPr>
              <w:t xml:space="preserve"> Agresja i autoagresja dzieci i młodzieży</w:t>
            </w:r>
          </w:p>
          <w:p w14:paraId="4C1DF49D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T10</w:t>
            </w:r>
            <w:r>
              <w:rPr>
                <w:rFonts w:ascii="Times New Roman" w:hAnsi="Times New Roman"/>
                <w:bCs/>
                <w:color w:val="000000"/>
              </w:rPr>
              <w:t xml:space="preserve"> Rola profesjonalistów i nieprofesjonalistów w procesie udzielania pomocy, rola </w:t>
            </w:r>
            <w:proofErr w:type="gramStart"/>
            <w:r>
              <w:rPr>
                <w:rFonts w:ascii="Times New Roman" w:hAnsi="Times New Roman"/>
                <w:bCs/>
                <w:color w:val="000000"/>
              </w:rPr>
              <w:t>psychologów  i</w:t>
            </w:r>
            <w:proofErr w:type="gramEnd"/>
            <w:r>
              <w:rPr>
                <w:rFonts w:ascii="Times New Roman" w:hAnsi="Times New Roman"/>
                <w:bCs/>
                <w:color w:val="000000"/>
              </w:rPr>
              <w:t xml:space="preserve"> innych specjalistów w budowaniu sieci wsparcia społecznego, rola osób znaczących z </w:t>
            </w:r>
            <w:proofErr w:type="gramStart"/>
            <w:r>
              <w:rPr>
                <w:rFonts w:ascii="Times New Roman" w:hAnsi="Times New Roman"/>
                <w:bCs/>
                <w:color w:val="000000"/>
              </w:rPr>
              <w:t>otoczenia  dziecka</w:t>
            </w:r>
            <w:proofErr w:type="gramEnd"/>
            <w:r>
              <w:rPr>
                <w:rFonts w:ascii="Times New Roman" w:hAnsi="Times New Roman"/>
                <w:bCs/>
                <w:color w:val="000000"/>
              </w:rPr>
              <w:t xml:space="preserve"> w procesie budowania, realizacji i ewaluacji programów pomagania ( profilaktycznych, terapeutycznych, edukacyjnych, interwencyjnych)</w:t>
            </w:r>
          </w:p>
          <w:p w14:paraId="343E186E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T11</w:t>
            </w:r>
            <w:r>
              <w:rPr>
                <w:rFonts w:ascii="Times New Roman" w:hAnsi="Times New Roman"/>
                <w:bCs/>
                <w:color w:val="000000"/>
              </w:rPr>
              <w:t xml:space="preserve"> Prowadzenie wywiadu z dziećmi i młodzieżą, specyfika wywiadu klinicznego z dzieckiem i adolescentem.</w:t>
            </w:r>
          </w:p>
          <w:p w14:paraId="4D3C154B" w14:textId="77777777" w:rsidR="001648C0" w:rsidRDefault="00000000">
            <w:pPr>
              <w:pStyle w:val="Bezodstpw"/>
              <w:widowControl w:val="0"/>
              <w:ind w:left="3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T12</w:t>
            </w:r>
            <w:r>
              <w:rPr>
                <w:rFonts w:ascii="Times New Roman" w:hAnsi="Times New Roman"/>
                <w:bCs/>
                <w:color w:val="000000"/>
              </w:rPr>
              <w:t xml:space="preserve"> Zabawa jako podstawowa forma pracy z dzieckiem.</w:t>
            </w:r>
          </w:p>
        </w:tc>
      </w:tr>
      <w:tr w:rsidR="001648C0" w14:paraId="6A68FCB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18E6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Literatura podstawowa: </w:t>
            </w:r>
          </w:p>
          <w:p w14:paraId="08E7FCE2" w14:textId="77777777" w:rsidR="001648C0" w:rsidRDefault="001648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6DD2EF6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2E5F6A6F" w14:textId="77777777" w:rsidR="001648C0" w:rsidRDefault="00000000">
            <w:pPr>
              <w:pStyle w:val="Akapitzlist"/>
              <w:widowControl w:val="0"/>
              <w:numPr>
                <w:ilvl w:val="0"/>
                <w:numId w:val="2"/>
              </w:numPr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Grzegorzewska, I., </w:t>
            </w:r>
            <w:proofErr w:type="spellStart"/>
            <w:r>
              <w:rPr>
                <w:sz w:val="22"/>
                <w:szCs w:val="22"/>
              </w:rPr>
              <w:t>Cierpiałkowska</w:t>
            </w:r>
            <w:proofErr w:type="spellEnd"/>
            <w:r>
              <w:rPr>
                <w:sz w:val="22"/>
                <w:szCs w:val="22"/>
              </w:rPr>
              <w:t>, L., &amp; Borkowska, A. R. (2020). </w:t>
            </w:r>
            <w:r>
              <w:rPr>
                <w:i/>
                <w:iCs/>
                <w:sz w:val="22"/>
                <w:szCs w:val="22"/>
              </w:rPr>
              <w:t>Psychologia kliniczna dzieci i młodzieży.</w:t>
            </w:r>
            <w:r>
              <w:rPr>
                <w:sz w:val="22"/>
                <w:szCs w:val="22"/>
              </w:rPr>
              <w:t> PWN (</w:t>
            </w:r>
            <w:proofErr w:type="spellStart"/>
            <w:r>
              <w:rPr>
                <w:sz w:val="22"/>
                <w:szCs w:val="22"/>
              </w:rPr>
              <w:t>roz</w:t>
            </w:r>
            <w:proofErr w:type="spellEnd"/>
            <w:r>
              <w:rPr>
                <w:sz w:val="22"/>
                <w:szCs w:val="22"/>
              </w:rPr>
              <w:t>. 1-7, 9, 10, 12, 13, 14, 15, 16, 20).</w:t>
            </w:r>
          </w:p>
          <w:p w14:paraId="1D8300B7" w14:textId="77777777" w:rsidR="001648C0" w:rsidRDefault="00000000">
            <w:pPr>
              <w:pStyle w:val="Akapitzlist"/>
              <w:widowControl w:val="0"/>
              <w:numPr>
                <w:ilvl w:val="0"/>
                <w:numId w:val="2"/>
              </w:numPr>
              <w:suppressAutoHyphens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Remberk</w:t>
            </w:r>
            <w:proofErr w:type="spellEnd"/>
            <w:r>
              <w:rPr>
                <w:sz w:val="22"/>
                <w:szCs w:val="22"/>
              </w:rPr>
              <w:t>, B. (2020). Zaburzenia psychiczne u dzieci i młodzieży. PZWL (</w:t>
            </w:r>
            <w:proofErr w:type="spellStart"/>
            <w:r>
              <w:rPr>
                <w:sz w:val="22"/>
                <w:szCs w:val="22"/>
              </w:rPr>
              <w:t>roz</w:t>
            </w:r>
            <w:proofErr w:type="spellEnd"/>
            <w:r>
              <w:rPr>
                <w:sz w:val="22"/>
                <w:szCs w:val="22"/>
              </w:rPr>
              <w:t>. 1, 2, 9, 10, 12, 13, 14, 17, 18, 20, 21, 25, 27, 38).</w:t>
            </w:r>
          </w:p>
          <w:p w14:paraId="45BF1E88" w14:textId="77777777" w:rsidR="001648C0" w:rsidRDefault="001648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0032E22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 w14:paraId="250DA951" w14:textId="77777777" w:rsidR="001648C0" w:rsidRDefault="00000000">
            <w:pPr>
              <w:pStyle w:val="Akapitzlist"/>
              <w:widowControl w:val="0"/>
              <w:numPr>
                <w:ilvl w:val="0"/>
                <w:numId w:val="3"/>
              </w:numPr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Oleś, M. (Red.). (2005). </w:t>
            </w:r>
            <w:r>
              <w:rPr>
                <w:i/>
                <w:iCs/>
                <w:sz w:val="22"/>
                <w:szCs w:val="22"/>
              </w:rPr>
              <w:t xml:space="preserve">Wybrane zagadnienia z psychologii klinicznej i osobowości: </w:t>
            </w:r>
            <w:r>
              <w:rPr>
                <w:i/>
                <w:iCs/>
                <w:sz w:val="22"/>
                <w:szCs w:val="22"/>
              </w:rPr>
              <w:lastRenderedPageBreak/>
              <w:t>Metody diagnostyczne w badaniach dzieci i młodzieży.</w:t>
            </w:r>
            <w:r>
              <w:rPr>
                <w:sz w:val="22"/>
                <w:szCs w:val="22"/>
              </w:rPr>
              <w:t> Towarzystwo Naukowe Katolickiego Uniwersytetu Lubelskiego.</w:t>
            </w:r>
          </w:p>
          <w:p w14:paraId="18254F89" w14:textId="77777777" w:rsidR="001648C0" w:rsidRDefault="00000000">
            <w:pPr>
              <w:pStyle w:val="Akapitzlist"/>
              <w:widowControl w:val="0"/>
              <w:numPr>
                <w:ilvl w:val="0"/>
                <w:numId w:val="3"/>
              </w:numPr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Laufer, M., Laufer. M.E. (2013). Okres dojrzewania i załamanie rozwoju. Perspektywa </w:t>
            </w:r>
            <w:proofErr w:type="spellStart"/>
            <w:r>
              <w:rPr>
                <w:sz w:val="22"/>
                <w:szCs w:val="22"/>
              </w:rPr>
              <w:t>psychoanalityczna.Oficyna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Ingenium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roz</w:t>
            </w:r>
            <w:proofErr w:type="spellEnd"/>
            <w:r>
              <w:rPr>
                <w:sz w:val="22"/>
                <w:szCs w:val="22"/>
              </w:rPr>
              <w:t>. 1, 2, 3, 9, 10)</w:t>
            </w:r>
          </w:p>
        </w:tc>
      </w:tr>
      <w:tr w:rsidR="001648C0" w14:paraId="3E93C96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37F99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Literatura uzupełniająca:</w:t>
            </w:r>
          </w:p>
          <w:p w14:paraId="7932F43C" w14:textId="77777777" w:rsidR="001648C0" w:rsidRDefault="001648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2D091F7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067C876D" w14:textId="77777777" w:rsidR="001648C0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Schaffer</w:t>
            </w:r>
            <w:proofErr w:type="spellEnd"/>
            <w:r>
              <w:rPr>
                <w:rFonts w:ascii="Times New Roman" w:hAnsi="Times New Roman"/>
              </w:rPr>
              <w:t>, H. R. (2018). </w:t>
            </w:r>
            <w:r>
              <w:rPr>
                <w:rFonts w:ascii="Times New Roman" w:hAnsi="Times New Roman"/>
                <w:i/>
                <w:iCs/>
              </w:rPr>
              <w:t>Psychologia dziecka.</w:t>
            </w:r>
            <w:r>
              <w:rPr>
                <w:rFonts w:ascii="Times New Roman" w:hAnsi="Times New Roman"/>
              </w:rPr>
              <w:t> PWN.</w:t>
            </w:r>
          </w:p>
          <w:p w14:paraId="72641A24" w14:textId="77777777" w:rsidR="001648C0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Jerzak, M. (Red.). (2016). </w:t>
            </w:r>
            <w:r>
              <w:rPr>
                <w:rFonts w:ascii="Times New Roman" w:hAnsi="Times New Roman"/>
                <w:i/>
                <w:iCs/>
              </w:rPr>
              <w:t>Zaburzenia psychiczne i rozwojowe u dzieci a szkolna rzeczywistość.</w:t>
            </w:r>
            <w:r>
              <w:rPr>
                <w:rFonts w:ascii="Times New Roman" w:hAnsi="Times New Roman"/>
              </w:rPr>
              <w:t> PWN.</w:t>
            </w:r>
          </w:p>
          <w:p w14:paraId="054BC41A" w14:textId="77777777" w:rsidR="001648C0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Deptuła, M. (2013). </w:t>
            </w:r>
            <w:r>
              <w:rPr>
                <w:rFonts w:ascii="Times New Roman" w:hAnsi="Times New Roman"/>
                <w:i/>
                <w:iCs/>
              </w:rPr>
              <w:t>Odrzucenie rówieśnicze.</w:t>
            </w:r>
            <w:r>
              <w:rPr>
                <w:rFonts w:ascii="Times New Roman" w:hAnsi="Times New Roman"/>
              </w:rPr>
              <w:t> PWN.</w:t>
            </w:r>
          </w:p>
          <w:p w14:paraId="46AED803" w14:textId="77777777" w:rsidR="001648C0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Herstowska</w:t>
            </w:r>
            <w:proofErr w:type="spellEnd"/>
            <w:r>
              <w:rPr>
                <w:rFonts w:ascii="Times New Roman" w:hAnsi="Times New Roman"/>
              </w:rPr>
              <w:t>, M., &amp; Pietruszewska, D. (2025). </w:t>
            </w:r>
            <w:r>
              <w:rPr>
                <w:rFonts w:ascii="Times New Roman" w:hAnsi="Times New Roman"/>
                <w:i/>
                <w:iCs/>
              </w:rPr>
              <w:t>Anoreksja: między obsesją a kontrolą.</w:t>
            </w:r>
            <w:r>
              <w:rPr>
                <w:rFonts w:ascii="Times New Roman" w:hAnsi="Times New Roman"/>
              </w:rPr>
              <w:t> Gdańskie Wydawnictwo Psychologiczne.</w:t>
            </w:r>
          </w:p>
          <w:p w14:paraId="3CA1B844" w14:textId="77777777" w:rsidR="001648C0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Steinborn</w:t>
            </w:r>
            <w:proofErr w:type="spellEnd"/>
            <w:r>
              <w:rPr>
                <w:rFonts w:ascii="Times New Roman" w:hAnsi="Times New Roman"/>
              </w:rPr>
              <w:t>, B. (Red.). (2018). </w:t>
            </w:r>
            <w:r>
              <w:rPr>
                <w:rFonts w:ascii="Times New Roman" w:hAnsi="Times New Roman"/>
                <w:i/>
                <w:iCs/>
              </w:rPr>
              <w:t>Neurologia dziecięca w przypadkach klinicznych.</w:t>
            </w:r>
            <w:r>
              <w:rPr>
                <w:rFonts w:ascii="Times New Roman" w:hAnsi="Times New Roman"/>
              </w:rPr>
              <w:t> PZWL Wydawnictwo Lekarskie.</w:t>
            </w:r>
          </w:p>
          <w:p w14:paraId="2326E5FE" w14:textId="77777777" w:rsidR="001648C0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ĆWICZENIA:</w:t>
            </w:r>
          </w:p>
          <w:p w14:paraId="2651FA39" w14:textId="77777777" w:rsidR="001648C0" w:rsidRDefault="00000000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Józefik</w:t>
            </w:r>
            <w:proofErr w:type="spellEnd"/>
            <w:r>
              <w:rPr>
                <w:rFonts w:ascii="Times New Roman" w:hAnsi="Times New Roman"/>
              </w:rPr>
              <w:t xml:space="preserve">, B. (2014). Kultura, </w:t>
            </w:r>
            <w:proofErr w:type="gramStart"/>
            <w:r>
              <w:rPr>
                <w:rFonts w:ascii="Times New Roman" w:hAnsi="Times New Roman"/>
              </w:rPr>
              <w:t>ciało,</w:t>
            </w:r>
            <w:proofErr w:type="gramEnd"/>
            <w:r>
              <w:rPr>
                <w:rFonts w:ascii="Times New Roman" w:hAnsi="Times New Roman"/>
              </w:rPr>
              <w:t xml:space="preserve"> (nie)jedzenie. Terapia. Wydawnictwo Uniwersytetu Jagiellońskiego.</w:t>
            </w:r>
          </w:p>
          <w:p w14:paraId="31F911FB" w14:textId="77777777" w:rsidR="001648C0" w:rsidRDefault="00000000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Kuk, B., &amp; Gaber, K. (2022). </w:t>
            </w:r>
            <w:r>
              <w:rPr>
                <w:rFonts w:ascii="Times New Roman" w:hAnsi="Times New Roman"/>
                <w:i/>
                <w:iCs/>
              </w:rPr>
              <w:t xml:space="preserve">Kiedy cierpisz na zaburzenia. </w:t>
            </w:r>
          </w:p>
          <w:p w14:paraId="3B33A9A5" w14:textId="77777777" w:rsidR="001648C0" w:rsidRDefault="00000000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proofErr w:type="spellStart"/>
            <w:r>
              <w:rPr>
                <w:rFonts w:ascii="Times New Roman" w:hAnsi="Times New Roman"/>
                <w:i/>
                <w:iCs/>
              </w:rPr>
              <w:t>Cierpiałkowska</w:t>
            </w:r>
            <w:proofErr w:type="spellEnd"/>
            <w:r>
              <w:rPr>
                <w:rFonts w:ascii="Times New Roman" w:hAnsi="Times New Roman"/>
                <w:i/>
                <w:iCs/>
              </w:rPr>
              <w:t>, L., &amp; Sęk, H. (2016). Psychologia kliniczna. PWN.</w:t>
            </w:r>
          </w:p>
          <w:p w14:paraId="47FFE227" w14:textId="77777777" w:rsidR="001648C0" w:rsidRDefault="00000000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Cepeda</w:t>
            </w:r>
            <w:proofErr w:type="spellEnd"/>
            <w:r>
              <w:rPr>
                <w:rFonts w:ascii="Times New Roman" w:hAnsi="Times New Roman"/>
              </w:rPr>
              <w:t>, C. (2019). </w:t>
            </w:r>
            <w:r>
              <w:rPr>
                <w:rFonts w:ascii="Times New Roman" w:hAnsi="Times New Roman"/>
                <w:i/>
                <w:iCs/>
              </w:rPr>
              <w:t>Badanie psychiatryczne dzieci i młodzieży: Podręcznik kliniczny.</w:t>
            </w:r>
            <w:r>
              <w:rPr>
                <w:rFonts w:ascii="Times New Roman" w:hAnsi="Times New Roman"/>
              </w:rPr>
              <w:t> </w:t>
            </w:r>
            <w:proofErr w:type="spellStart"/>
            <w:r>
              <w:rPr>
                <w:rFonts w:ascii="Times New Roman" w:hAnsi="Times New Roman"/>
              </w:rPr>
              <w:t>Edra</w:t>
            </w:r>
            <w:proofErr w:type="spellEnd"/>
            <w:r>
              <w:rPr>
                <w:rFonts w:ascii="Times New Roman" w:hAnsi="Times New Roman"/>
              </w:rPr>
              <w:t xml:space="preserve"> Urban &amp; Partner / </w:t>
            </w:r>
            <w:proofErr w:type="spellStart"/>
            <w:r>
              <w:rPr>
                <w:rFonts w:ascii="Times New Roman" w:hAnsi="Times New Roman"/>
              </w:rPr>
              <w:t>Elsevier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1648C0" w14:paraId="4164C0A6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19EED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415ABA45" w14:textId="77777777" w:rsidR="001648C0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50A8D08B" w14:textId="77777777" w:rsidR="001648C0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7755386A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1B622522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1F374F1D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ĆWICZENIA: </w:t>
            </w:r>
          </w:p>
          <w:p w14:paraId="27E2C322" w14:textId="77777777" w:rsidR="001648C0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P1</w:t>
            </w:r>
            <w:r>
              <w:rPr>
                <w:bCs/>
                <w:sz w:val="22"/>
                <w:szCs w:val="22"/>
              </w:rPr>
              <w:t xml:space="preserve"> Ocena analizy przypadku (100%).</w:t>
            </w:r>
          </w:p>
        </w:tc>
      </w:tr>
      <w:tr w:rsidR="001648C0" w14:paraId="01BABA72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13F7D3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BB389D0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1648C0" w14:paraId="49D7084B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F5EA2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5E2E6809" w14:textId="77777777" w:rsidR="001648C0" w:rsidRDefault="001648C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035A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593F649E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ćwiczeń</w:t>
            </w:r>
          </w:p>
          <w:p w14:paraId="7003E1D4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5FFB7973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4D6F1F25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3B0ABDA3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2619DEF9" w14:textId="77777777" w:rsidR="001648C0" w:rsidRDefault="001648C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98BB83E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10280ECC" w14:textId="77777777" w:rsidR="001648C0" w:rsidRDefault="001648C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BCC6DA4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1C971C00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6C19E35F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 w14:paraId="38349645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547597FA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pogłębioną i uporządkowaną znajomość prezentowanych treści nauczania. Poprawnie analizuje zagadnienia. Używa specjalistycznych 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pojęć.</w:t>
            </w:r>
          </w:p>
          <w:p w14:paraId="3E54338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Pojawiają się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błędy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ale zachowana jest ogólna logika i poprawność.</w:t>
            </w:r>
          </w:p>
          <w:p w14:paraId="3F49967D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051F081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 w14:paraId="12860332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Pojawiają się umiarkowane braki i błędy.</w:t>
            </w:r>
          </w:p>
          <w:p w14:paraId="3A35486A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2927EDA4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 w14:paraId="7BD46BF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1F3ED633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podstawową znajomość prezentowanych treści nauczania. W miarę poprawnie analizuje zagadnienia. Raczej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nie  używa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specjalistycznych pojęć. Widoczne są wyraźne braki w wiedzy teoretycznej.</w:t>
            </w:r>
          </w:p>
          <w:p w14:paraId="48AC128E" w14:textId="77777777" w:rsidR="001648C0" w:rsidRDefault="001648C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0C50BBFD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104889B1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 w:rsidR="001648C0" w14:paraId="744CF34B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F98A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ĆWICZENIA: </w:t>
            </w:r>
          </w:p>
          <w:p w14:paraId="38230A3C" w14:textId="77777777" w:rsidR="001648C0" w:rsidRDefault="001648C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773D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1787380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397D285B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>ocena analizy przypadku</w:t>
            </w:r>
          </w:p>
          <w:p w14:paraId="1181ED4C" w14:textId="77777777" w:rsidR="001648C0" w:rsidRDefault="001648C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407945F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077DE7E8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 w14:paraId="0436543A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Umiejętność wykorzystania w praktyce wiedzy zawartej w literaturze. </w:t>
            </w:r>
          </w:p>
          <w:p w14:paraId="3349D73D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32D31268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 w14:paraId="6675F20D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popełnia jedynie nieznaczne błędy.</w:t>
            </w:r>
          </w:p>
          <w:p w14:paraId="55D3C77F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389926C2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 w14:paraId="6670AF39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0BFF1A3E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poprawnie analizuje treści i formułuje ogólne wnioski. Student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zporadycznie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stosuje specjalistyczne pojęcia. Wnioski oraz rekomendacje studenta wymagają doprecyzowania.</w:t>
            </w:r>
          </w:p>
          <w:p w14:paraId="549E6BA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5C94C92C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52F67F37" w14:textId="77777777" w:rsidR="001648C0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557B3FD7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 w:rsidR="001648C0" w14:paraId="2DF22FD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71E7C6E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77986F49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1648C0" w14:paraId="6B7E16F2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F232427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2EB11A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4D107C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1648C0" w14:paraId="64F8FD3C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34111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0C75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</w:t>
            </w:r>
            <w:r>
              <w:rPr>
                <w:rFonts w:ascii="Times New Roman" w:eastAsia="Times New Roman" w:hAnsi="Times New Roman" w:cs="Calibri"/>
                <w:color w:val="000000" w:themeColor="text1"/>
                <w:lang w:eastAsia="ru-RU"/>
              </w:rPr>
              <w:t>ma pogłębioną wiedzę o metodach diagnozy psychologicznej stosowanych w psychologii klinicznej, w tym metodach diagnozy dzieci, młodzieży i osób dorosłych.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EB1D5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 w:rsidR="001648C0" w14:paraId="129B617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F17E43A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1648C0" w14:paraId="172EAC47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F69DEB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9152719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B89C51F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5C0456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1F3B6B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1377275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1648C0" w14:paraId="665EECC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493D4FD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1648C0" w14:paraId="72B22044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E29C" w14:textId="77777777" w:rsidR="001648C0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B587B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5068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F8AEE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T1-T15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D4E7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9947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1648C0" w14:paraId="7DFD2DA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68CCAFD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5254102B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 w:rsidR="001648C0" w14:paraId="44B9EC76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4CDD01C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B5BE08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47F61F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1648C0" w14:paraId="7313BD91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459B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PKO_U05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23E0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p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lanuje i realizuje działania z zakresu pomocy psychologicznej, psychoprofilaktyki oraz wsparcia psychologicznego wobec dzieci, młodzieży i dorosłych.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16AC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K_U18</w:t>
            </w:r>
          </w:p>
        </w:tc>
      </w:tr>
      <w:tr w:rsidR="001648C0" w14:paraId="6E313038" w14:textId="77777777">
        <w:trPr>
          <w:trHeight w:val="671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C51E5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PKO_K03 </w:t>
            </w:r>
          </w:p>
        </w:tc>
        <w:tc>
          <w:tcPr>
            <w:tcW w:w="598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9F87" w14:textId="77777777" w:rsidR="001648C0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Absolwent j</w:t>
            </w:r>
            <w:r>
              <w:rPr>
                <w:rFonts w:ascii="Times New Roman" w:eastAsia="Times New Roman" w:hAnsi="Times New Roman" w:cs="Calibri"/>
                <w:color w:val="000000"/>
                <w:lang w:eastAsia="ru-RU"/>
              </w:rPr>
              <w:t>est gotów do odpowiedzialnego podejmowania działań diagnostycznych i pomocowych oraz współpracy z innymi specjalistami w systemie ochrony zdrowia i pomocy psychologicznej, z uwzględnieniem złożoności mechanizmów funkcjonowania psychicznego człowieka.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AFA6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K_K10 </w:t>
            </w:r>
          </w:p>
        </w:tc>
      </w:tr>
      <w:tr w:rsidR="001648C0" w14:paraId="41EDC62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13C808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1648C0" w14:paraId="15034856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9D6B721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D3C5058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E31444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8D3570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48077D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5445B7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1648C0" w14:paraId="6616EC1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9FAD054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Umiejętności/Kompetencje</w:t>
            </w:r>
          </w:p>
        </w:tc>
      </w:tr>
      <w:tr w:rsidR="001648C0" w14:paraId="68E6E8A1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D57A7" w14:textId="77777777" w:rsidR="001648C0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PKO_U05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54D8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BBEA1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105C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T1-T12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98C83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576E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P1</w:t>
            </w:r>
          </w:p>
        </w:tc>
      </w:tr>
      <w:tr w:rsidR="001648C0" w14:paraId="7F04909A" w14:textId="77777777">
        <w:trPr>
          <w:trHeight w:val="567"/>
          <w:jc w:val="center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7683D" w14:textId="77777777" w:rsidR="001648C0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PKO_K03 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0BF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K_K10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8F180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5ADD8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(W) T1-T15; (ĆW) T1-T12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F1FC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4B6F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1648C0" w14:paraId="58D490F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2C5562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1648C0" w14:paraId="05F188C6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6DC9C052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lastRenderedPageBreak/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6FE40844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A1E09EC" w14:textId="77777777" w:rsidR="001648C0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D6F67E6" w14:textId="77777777" w:rsidR="001648C0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1648C0" w14:paraId="4A3764AC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1E18B979" w14:textId="77777777" w:rsidR="001648C0" w:rsidRDefault="00164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35900A82" w14:textId="77777777" w:rsidR="001648C0" w:rsidRDefault="00164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71EFF5DD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1DB81AEB" w14:textId="77777777" w:rsidR="001648C0" w:rsidRDefault="00164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3AED77F9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273" w:type="dxa"/>
            <w:gridSpan w:val="3"/>
            <w:vMerge/>
            <w:vAlign w:val="center"/>
          </w:tcPr>
          <w:p w14:paraId="432053B0" w14:textId="77777777" w:rsidR="001648C0" w:rsidRDefault="001648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48C0" w14:paraId="22114691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FD3D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8F66E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5062E208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2159" w14:textId="36A40793" w:rsidR="001648C0" w:rsidRDefault="000107FC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  <w:p w14:paraId="40BA485F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33B6" w14:textId="1097ED00" w:rsidR="001648C0" w:rsidRDefault="000107FC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0907A6BC" w14:textId="77777777" w:rsidR="001648C0" w:rsidRDefault="001648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3711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1648C0" w14:paraId="231F4962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F5C8" w14:textId="77777777" w:rsidR="001648C0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DA99C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91A" w14:textId="7087C89C" w:rsidR="001648C0" w:rsidRDefault="000107FC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35</w:t>
            </w:r>
          </w:p>
          <w:p w14:paraId="4D4425B5" w14:textId="77777777" w:rsidR="001648C0" w:rsidRDefault="001648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73BC" w14:textId="04381EF6" w:rsidR="001648C0" w:rsidRDefault="000107FC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18</w:t>
            </w:r>
          </w:p>
          <w:p w14:paraId="7DCFCB1C" w14:textId="77777777" w:rsidR="001648C0" w:rsidRDefault="001648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ECE1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1648C0" w14:paraId="6B88911A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FAF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2BB39034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FD424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2ADD" w14:textId="77777777" w:rsidR="001648C0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4C8E" w14:textId="77777777" w:rsidR="001648C0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CF7C" w14:textId="77777777" w:rsidR="001648C0" w:rsidRDefault="001648C0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1648C0" w14:paraId="7FC67504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701A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09798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8FB0" w14:textId="77777777" w:rsidR="001648C0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3B3E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6702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1648C0" w14:paraId="711EAB0A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0A9F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6363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768D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D1CB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E3907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1648C0" w14:paraId="6A8B8C77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953F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5A0C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12EC3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D5B7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2B662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1648C0" w14:paraId="0008FAAE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9A49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88F6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9FFD0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9C1D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DE4D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1648C0" w14:paraId="1AEBB377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9C5B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4346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B16B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194F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B175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1648C0" w14:paraId="757BF055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0AD87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F0F4" w14:textId="77777777" w:rsidR="001648C0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A378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22D6" w14:textId="77777777" w:rsidR="001648C0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4953" w14:textId="77777777" w:rsidR="001648C0" w:rsidRDefault="001648C0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1648C0" w14:paraId="1A5300AA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EBFDE66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1C3A9BA" w14:textId="77777777" w:rsidR="001648C0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150</w:t>
            </w:r>
          </w:p>
        </w:tc>
      </w:tr>
      <w:tr w:rsidR="001648C0" w14:paraId="28C17B28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D4D4728" w14:textId="77777777" w:rsidR="001648C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8AFBBBA" w14:textId="77777777" w:rsidR="001648C0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6</w:t>
            </w:r>
          </w:p>
        </w:tc>
      </w:tr>
    </w:tbl>
    <w:p w14:paraId="219E63EE" w14:textId="77777777" w:rsidR="001648C0" w:rsidRDefault="001648C0">
      <w:pPr>
        <w:pStyle w:val="Akapitzlist"/>
        <w:ind w:left="360"/>
        <w:jc w:val="center"/>
        <w:rPr>
          <w:sz w:val="22"/>
          <w:szCs w:val="22"/>
        </w:rPr>
      </w:pPr>
    </w:p>
    <w:p w14:paraId="546C765B" w14:textId="77777777" w:rsidR="001648C0" w:rsidRDefault="001648C0">
      <w:pPr>
        <w:pStyle w:val="Akapitzlist"/>
        <w:ind w:left="360"/>
        <w:jc w:val="center"/>
        <w:rPr>
          <w:sz w:val="22"/>
          <w:szCs w:val="22"/>
        </w:rPr>
      </w:pPr>
    </w:p>
    <w:p w14:paraId="6005532E" w14:textId="77777777" w:rsidR="001648C0" w:rsidRDefault="001648C0">
      <w:pPr>
        <w:pStyle w:val="Akapitzlist"/>
        <w:ind w:left="360"/>
        <w:jc w:val="center"/>
        <w:rPr>
          <w:sz w:val="22"/>
          <w:szCs w:val="22"/>
        </w:rPr>
      </w:pPr>
    </w:p>
    <w:sectPr w:rsidR="001648C0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BD4A" w14:textId="77777777" w:rsidR="00916EAB" w:rsidRDefault="00916EAB">
      <w:pPr>
        <w:spacing w:after="0" w:line="240" w:lineRule="auto"/>
      </w:pPr>
      <w:r>
        <w:separator/>
      </w:r>
    </w:p>
  </w:endnote>
  <w:endnote w:type="continuationSeparator" w:id="0">
    <w:p w14:paraId="4367306F" w14:textId="77777777" w:rsidR="00916EAB" w:rsidRDefault="00916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C651" w14:textId="77777777" w:rsidR="001648C0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401E6D3A" wp14:editId="6A512362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5C75439" wp14:editId="0AF6DE96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7D070" w14:textId="77777777" w:rsidR="00916EAB" w:rsidRDefault="00916EAB">
      <w:pPr>
        <w:spacing w:after="0" w:line="240" w:lineRule="auto"/>
      </w:pPr>
      <w:r>
        <w:separator/>
      </w:r>
    </w:p>
  </w:footnote>
  <w:footnote w:type="continuationSeparator" w:id="0">
    <w:p w14:paraId="2ED78593" w14:textId="77777777" w:rsidR="00916EAB" w:rsidRDefault="00916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159D" w14:textId="77777777" w:rsidR="001648C0" w:rsidRDefault="00000000">
    <w:pPr>
      <w:pStyle w:val="Nagwek"/>
    </w:pPr>
    <w:r>
      <w:rPr>
        <w:noProof/>
      </w:rPr>
      <w:drawing>
        <wp:anchor distT="0" distB="0" distL="114300" distR="114300" simplePos="0" relativeHeight="19" behindDoc="1" locked="0" layoutInCell="0" allowOverlap="1" wp14:anchorId="306FCAE5" wp14:editId="4BC783F7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2238"/>
    <w:multiLevelType w:val="multilevel"/>
    <w:tmpl w:val="015A342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29C76E9A"/>
    <w:multiLevelType w:val="multilevel"/>
    <w:tmpl w:val="A96053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E385A41"/>
    <w:multiLevelType w:val="multilevel"/>
    <w:tmpl w:val="90D49E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70055C2"/>
    <w:multiLevelType w:val="multilevel"/>
    <w:tmpl w:val="8A3A42F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4" w15:restartNumberingAfterBreak="0">
    <w:nsid w:val="7F466ACF"/>
    <w:multiLevelType w:val="multilevel"/>
    <w:tmpl w:val="B60EB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25384195">
    <w:abstractNumId w:val="1"/>
  </w:num>
  <w:num w:numId="2" w16cid:durableId="1469202988">
    <w:abstractNumId w:val="0"/>
  </w:num>
  <w:num w:numId="3" w16cid:durableId="944657699">
    <w:abstractNumId w:val="3"/>
  </w:num>
  <w:num w:numId="4" w16cid:durableId="1993440489">
    <w:abstractNumId w:val="2"/>
  </w:num>
  <w:num w:numId="5" w16cid:durableId="1158764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C0"/>
    <w:rsid w:val="000107FC"/>
    <w:rsid w:val="001648C0"/>
    <w:rsid w:val="00916EAB"/>
    <w:rsid w:val="00E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3F7B57"/>
  <w15:docId w15:val="{189EFEFC-4C79-B14E-A79A-FF656F33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character" w:customStyle="1" w:styleId="BezodstpwZnak">
    <w:name w:val="Bez odstępów Znak"/>
    <w:link w:val="Bezodstpw"/>
    <w:uiPriority w:val="1"/>
    <w:qFormat/>
    <w:locked/>
    <w:rsid w:val="004A0FD5"/>
    <w:rPr>
      <w:sz w:val="22"/>
      <w:szCs w:val="22"/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link w:val="BezodstpwZnak"/>
    <w:uiPriority w:val="1"/>
    <w:qFormat/>
    <w:rsid w:val="004A0FD5"/>
    <w:pPr>
      <w:suppressAutoHyphens w:val="0"/>
    </w:pPr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1624</Words>
  <Characters>10254</Characters>
  <Application>Microsoft Office Word</Application>
  <DocSecurity>0</DocSecurity>
  <Lines>227</Lines>
  <Paragraphs>115</Paragraphs>
  <ScaleCrop>false</ScaleCrop>
  <Company>MRR</Company>
  <LinksUpToDate>false</LinksUpToDate>
  <CharactersWithSpaces>11763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45</cp:revision>
  <cp:lastPrinted>2023-02-11T13:06:00Z</cp:lastPrinted>
  <dcterms:created xsi:type="dcterms:W3CDTF">2026-02-17T10:53:00Z</dcterms:created>
  <dcterms:modified xsi:type="dcterms:W3CDTF">2026-03-13T06:01:00Z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