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2A02" w14:textId="77777777" w:rsidR="00DF27F0" w:rsidRDefault="00DF27F0">
      <w:pPr>
        <w:rPr>
          <w:rFonts w:ascii="Times New Roman" w:hAnsi="Times New Roman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3"/>
        <w:gridCol w:w="27"/>
        <w:gridCol w:w="362"/>
        <w:gridCol w:w="335"/>
        <w:gridCol w:w="843"/>
        <w:gridCol w:w="20"/>
        <w:gridCol w:w="1262"/>
        <w:gridCol w:w="252"/>
        <w:gridCol w:w="6"/>
        <w:gridCol w:w="105"/>
        <w:gridCol w:w="1717"/>
        <w:gridCol w:w="612"/>
        <w:gridCol w:w="6"/>
        <w:gridCol w:w="461"/>
        <w:gridCol w:w="501"/>
        <w:gridCol w:w="391"/>
        <w:gridCol w:w="7"/>
        <w:gridCol w:w="907"/>
      </w:tblGrid>
      <w:tr w:rsidR="00DF27F0" w14:paraId="0B343439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CD68A4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DF27F0" w14:paraId="3AB0DEA3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C41D9C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DF27F0" w14:paraId="75883873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DB86" w14:textId="77777777" w:rsidR="00DF27F0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6205" w14:textId="77777777" w:rsidR="00DF27F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DF27F0" w14:paraId="0FDA9CC9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A7D6E" w14:textId="77777777" w:rsidR="00DF27F0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DF27F0" w14:paraId="1284EA79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8ADC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DF27F0" w14:paraId="05F87D45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E18D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4B909D89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DF27F0" w14:paraId="45766C22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8EA7425" w14:textId="77777777" w:rsidR="00DF27F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METODY PRACY Z PACJENTEM INDYWIDUALNYM</w:t>
            </w:r>
          </w:p>
        </w:tc>
      </w:tr>
      <w:tr w:rsidR="00DF27F0" w14:paraId="11BD23A6" w14:textId="77777777">
        <w:trPr>
          <w:trHeight w:val="2190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3322" w14:textId="77777777" w:rsidR="00DF27F0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26F996F0" w14:textId="77777777" w:rsidR="00DF27F0" w:rsidRDefault="00DF27F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50204B21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C1 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Pogłębienie wiedzy o dynamice relacji między psychologiem a pacjentem. </w:t>
            </w:r>
          </w:p>
          <w:p w14:paraId="01EF17F2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Doskonalenie umiejętności rozpoznawania znaczenia objawów występujących u pacjenta w kontekście etiologii zaburzenia. </w:t>
            </w:r>
          </w:p>
          <w:p w14:paraId="4C76420E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C3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Doskonalenie umiejętności profesjonalnego reagowania w kontakcie z pacjentem indywidualnym. </w:t>
            </w:r>
          </w:p>
          <w:p w14:paraId="6FD0F431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Doskonalenie umiejętności korzystania z metod pracy z pacjentem indywidualnym. </w:t>
            </w:r>
          </w:p>
          <w:p w14:paraId="3E34FC3A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C5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Rozwijanie umiejętności krytycznej analizy i formułowania interwencji podczas pracy z pacjentem. </w:t>
            </w:r>
          </w:p>
        </w:tc>
      </w:tr>
      <w:tr w:rsidR="00DF27F0" w14:paraId="3CCEE03A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6455" w14:textId="77777777" w:rsidR="00DF27F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wprowadzający: </w:t>
            </w:r>
            <w:r>
              <w:rPr>
                <w:rFonts w:ascii="Times New Roman" w:hAnsi="Times New Roman"/>
                <w:bCs/>
              </w:rPr>
              <w:t>Diagnoza psychologiczna 1</w:t>
            </w:r>
          </w:p>
        </w:tc>
      </w:tr>
      <w:tr w:rsidR="00DF27F0" w14:paraId="466DCA86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F89E" w14:textId="77777777" w:rsidR="00DF27F0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405AC6A6" w14:textId="77777777" w:rsidR="00DF27F0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7583B4CE" w14:textId="77777777" w:rsidR="00DF27F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58BC2F42" w14:textId="77777777" w:rsidR="00DF27F0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Ws3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terapii psychologicznej oraz rozumie znaczenie współpracy interdyscyplinarnej w tym procesie.</w:t>
            </w:r>
          </w:p>
        </w:tc>
      </w:tr>
      <w:tr w:rsidR="00DF27F0" w14:paraId="46B3DBF5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3E75" w14:textId="77777777" w:rsidR="00DF27F0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kształcenia: </w:t>
            </w:r>
          </w:p>
          <w:p w14:paraId="670C0F27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54AE46B9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3CDC1534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6226383E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6F487FE2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4B5EE761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</w:t>
            </w:r>
          </w:p>
          <w:p w14:paraId="12DF4BD5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1B6CEAD2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 w14:paraId="3C7935DC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1113FBE9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ViewAir</w:t>
            </w:r>
            <w:proofErr w:type="spellEnd"/>
          </w:p>
        </w:tc>
      </w:tr>
      <w:tr w:rsidR="00DF27F0" w14:paraId="75BBFDBC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1653" w14:textId="77777777" w:rsidR="00DF27F0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kształcenia (treści nauczania)  </w:t>
            </w:r>
          </w:p>
          <w:p w14:paraId="07076392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T1 Elementy i charakterystyka procesu terapii psychologicznej z pacjentem indywidualnym.</w:t>
            </w:r>
          </w:p>
          <w:p w14:paraId="41837D6E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-Elementy składające się na proces terapii psychologicznej.</w:t>
            </w:r>
          </w:p>
          <w:p w14:paraId="6C6FB0F0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lastRenderedPageBreak/>
              <w:t>-Branie pod uwagę różnych źródeł wiedzy o pacjencie (wywiad psychologiczny, obserwacja pacjenta, dokumentacja medyczna, diagnoza psychologiczna, diagnoza psychiatryczna).</w:t>
            </w:r>
          </w:p>
          <w:p w14:paraId="13E3C813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-Dynamika relacji pacjent – psycholog i uwzględnianie jej w formułowaniu interwencji do pacjenta (scenki symulacyjne).</w:t>
            </w:r>
          </w:p>
          <w:p w14:paraId="247F2F23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Rodzaje interwencji psychologicznych w kontakcie z pacjentem indywidualnym (klaryfikacje, konfrontacje, przeformułowywanie wypowiedzi, pytania otwarte, pytania sugerujące).</w:t>
            </w:r>
          </w:p>
          <w:p w14:paraId="3E4007F7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-Profesjonalne, poprawne formułowanie interwencji skierowanych do pacjenta.</w:t>
            </w:r>
          </w:p>
          <w:p w14:paraId="397E55B0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-Odpowiednie dobieranie rodzaju interwencji w zależności od problematyki zgłaszanej przez pacjenta i etapu relacji psycholog- pacjent.</w:t>
            </w:r>
          </w:p>
          <w:p w14:paraId="3EAA1B4D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 Zjawisko oporu w relacji psycholog- pacjent.</w:t>
            </w:r>
          </w:p>
          <w:p w14:paraId="1EE63510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 xml:space="preserve">-Rozumienie oporu pacjenta przed zmianą w ujęciu różnych teorii (teorie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psychodynamiczne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Gestalt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Enricht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Erockson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>)- studium przypadków.</w:t>
            </w:r>
          </w:p>
          <w:p w14:paraId="008E635C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-Metody pracy z oporem pacjenta.</w:t>
            </w:r>
          </w:p>
          <w:p w14:paraId="71866AE7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T4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Praktyczna nauka umiejętnego wykorzystywania metody dialogu sokratejskiego.</w:t>
            </w:r>
          </w:p>
          <w:p w14:paraId="4CC01FBF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pl"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 Techniki monodramy wykorzystywane w pracy z pacjentem indywidualnym.</w:t>
            </w:r>
          </w:p>
          <w:p w14:paraId="018EC320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-Technika lustra</w:t>
            </w:r>
          </w:p>
          <w:p w14:paraId="5CE042D8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-Technika pustego krzesła</w:t>
            </w:r>
          </w:p>
          <w:p w14:paraId="2271365B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-Praca z dwoma krzesłami</w:t>
            </w:r>
          </w:p>
          <w:p w14:paraId="6C3F16D9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T6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Praca z często występującymi problemami/ zdarzeniami pojawiającymi się w trakcie pomocy psychologicznej.</w:t>
            </w:r>
          </w:p>
          <w:p w14:paraId="4B5C8236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-Praca z milczeniem pacjenta, znaczenie milczenia, metody interwencji</w:t>
            </w:r>
          </w:p>
          <w:p w14:paraId="36FC235D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-Praca nad poczuciem własnej wartości</w:t>
            </w:r>
          </w:p>
          <w:p w14:paraId="01E58726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T7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Wykorzystanie rysunku jako narzędzia w pracy z pacjentem (np. malowanie objawu, technika atomu społecznego/ rodzinnego).</w:t>
            </w:r>
          </w:p>
          <w:p w14:paraId="5D7E608B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T8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Psychologiczne koncepcje marzeń sennych.</w:t>
            </w:r>
          </w:p>
          <w:p w14:paraId="544AA6FD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-Fizjologiczne i psychologiczne rozumienie marzeń sennych</w:t>
            </w:r>
          </w:p>
          <w:p w14:paraId="4EF5175E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-Orientacja podmiotowa i przedmiotowa w pracy z marzeniami sennymi</w:t>
            </w:r>
          </w:p>
          <w:p w14:paraId="2B8E5AB9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T9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Metody pomagające zmniejszyć napięcie psychiczne u pacjentów.</w:t>
            </w:r>
          </w:p>
          <w:p w14:paraId="0F3B426D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-Wizualizacja jako forma relaksacji oraz wykorzystanie wizualizacji w pracy z objawem.</w:t>
            </w:r>
          </w:p>
          <w:p w14:paraId="6F70138E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 w:eastAsia="pl-PL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-Techniki relaksacji</w:t>
            </w:r>
          </w:p>
          <w:p w14:paraId="39AB2520" w14:textId="77777777" w:rsidR="00DF27F0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pl" w:eastAsia="pl-PL"/>
              </w:rPr>
              <w:t>-Psychologiczny wymiar działania muzyki w terapii</w:t>
            </w:r>
          </w:p>
        </w:tc>
      </w:tr>
      <w:tr w:rsidR="00DF27F0" w14:paraId="03D9D4A1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0F94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121C8B64" w14:textId="77777777" w:rsidR="00DF27F0" w:rsidRDefault="00DF27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C1C4102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Dudek, Z.W. (2005). Analiza marzeń sennych.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548-574), Warszawa: ENETEIA Wydawnictwo Psychologii i Kultury.</w:t>
            </w:r>
          </w:p>
          <w:p w14:paraId="12F6E716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Galińska, E. (2005). Muzykoterapia.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531-541), Warszawa: ENETEIA Wydawnictwo Psychologii i Kultury.</w:t>
            </w:r>
          </w:p>
          <w:p w14:paraId="250BE620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Galińska, E. (2005). Psychodrama.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517-530), Warszawa: ENETEIA Wydawnictwo Psychologii i Kultury.</w:t>
            </w:r>
          </w:p>
          <w:p w14:paraId="548816C4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Grzesiuk, L. (2005). Dynamika relacji pacjent- terapeuta.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355-394), Warszawa: ENETEIA Wydawnictwo Psychologii i Kultury.</w:t>
            </w:r>
          </w:p>
          <w:p w14:paraId="03DE3F70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Grzesiuk, L. (2005). Wizualizacja.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542-547), Warszawa: ENETEIA Wydawnictwo Psychologii i Kultury.</w:t>
            </w:r>
          </w:p>
          <w:p w14:paraId="00346430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Grzesiuk, L. (2005). Zjawisko oporu pacjenta przed zmianą.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395-410), Warszawa: ENETEIA Wydawnictwo Psychologii i Kultury.</w:t>
            </w:r>
          </w:p>
          <w:p w14:paraId="74F43743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Jakubowska, U. (2005). Psychoterapia </w:t>
            </w:r>
            <w:proofErr w:type="spellStart"/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>Gestalt</w:t>
            </w:r>
            <w:proofErr w:type="spellEnd"/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181-184), Warszawa: ENETEIA Wydawnictwo Psychologii i Kultury.</w:t>
            </w:r>
          </w:p>
          <w:p w14:paraId="57F8FD86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Klajs, K. (2017).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Poznawanie pacjenta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>. Poznań: Zysk i S-ka Wydawnictwo.</w:t>
            </w:r>
          </w:p>
          <w:p w14:paraId="0622F365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>Ladyne</w:t>
            </w:r>
            <w:proofErr w:type="spellEnd"/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, R. (2021).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Odetnij napięcie. Jak pokonać stres dzięki praktykom psychosomatycznym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>. Kraków: Wydawnictwo Uniwersytetu Jagiellońskiego.</w:t>
            </w:r>
          </w:p>
          <w:p w14:paraId="05E02AE2" w14:textId="77777777" w:rsidR="00DF27F0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/>
                <w:color w:val="000000"/>
                <w:lang w:val="pl"/>
              </w:rPr>
            </w:pP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lastRenderedPageBreak/>
              <w:t xml:space="preserve">Trzebińska, E. (2005). Ogólna charakterystyka procesu psychoterapii. W: L. Grzesiuk (red.), </w:t>
            </w:r>
            <w:r>
              <w:rPr>
                <w:rFonts w:ascii="Times New Roman" w:eastAsia="Book Antiqua" w:hAnsi="Times New Roman"/>
                <w:i/>
                <w:iCs/>
                <w:color w:val="000000"/>
                <w:lang w:val="pl" w:eastAsia="pl-PL"/>
              </w:rPr>
              <w:t>Psychoterapia. Teoria</w:t>
            </w:r>
            <w:r>
              <w:rPr>
                <w:rFonts w:ascii="Times New Roman" w:eastAsia="Book Antiqua" w:hAnsi="Times New Roman"/>
                <w:color w:val="000000"/>
                <w:lang w:val="pl" w:eastAsia="pl-PL"/>
              </w:rPr>
              <w:t xml:space="preserve"> (s. 309-350), Warszawa: ENETEIA Wydawnictwo Psychologii i Kultury.</w:t>
            </w:r>
          </w:p>
        </w:tc>
      </w:tr>
      <w:tr w:rsidR="00DF27F0" w14:paraId="3D952DB6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E4A0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Literatura uzupełniająca:</w:t>
            </w:r>
          </w:p>
          <w:p w14:paraId="7455BA8B" w14:textId="77777777" w:rsidR="00DF27F0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r>
              <w:rPr>
                <w:rFonts w:ascii="Times New Roman" w:hAnsi="Times New Roman"/>
                <w:bCs/>
                <w:lang w:val="pl"/>
              </w:rPr>
              <w:t xml:space="preserve">Popiel, A., </w:t>
            </w:r>
            <w:proofErr w:type="spellStart"/>
            <w:r>
              <w:rPr>
                <w:rFonts w:ascii="Times New Roman" w:hAnsi="Times New Roman"/>
                <w:bCs/>
                <w:lang w:val="pl"/>
              </w:rPr>
              <w:t>Pragłowska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 E. (2008). </w:t>
            </w:r>
            <w:r>
              <w:rPr>
                <w:rFonts w:ascii="Times New Roman" w:hAnsi="Times New Roman"/>
                <w:bCs/>
                <w:i/>
                <w:iCs/>
                <w:lang w:val="pl"/>
              </w:rPr>
              <w:t>Psychoterapia poznawczo- behawioralna. Teoria i praktyka</w:t>
            </w:r>
            <w:r>
              <w:rPr>
                <w:rFonts w:ascii="Times New Roman" w:hAnsi="Times New Roman"/>
                <w:bCs/>
                <w:lang w:val="pl"/>
              </w:rPr>
              <w:t>. Warszawa: Wydawnictwo Paradygmat.</w:t>
            </w:r>
          </w:p>
          <w:p w14:paraId="17E26055" w14:textId="77777777" w:rsidR="00DF27F0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Yalom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, I.D. (2003). </w:t>
            </w:r>
            <w:r>
              <w:rPr>
                <w:rFonts w:ascii="Times New Roman" w:hAnsi="Times New Roman"/>
                <w:bCs/>
                <w:i/>
                <w:iCs/>
                <w:lang w:val="pl"/>
              </w:rPr>
              <w:t>Dar terapii. List otwarty do nowego pokolenia terapeutów i ich pacjentów</w:t>
            </w:r>
            <w:r>
              <w:rPr>
                <w:rFonts w:ascii="Times New Roman" w:hAnsi="Times New Roman"/>
                <w:bCs/>
                <w:lang w:val="pl"/>
              </w:rPr>
              <w:t>. Warszawa: Instytut Psychologii Zdrowia Polskie Towarzystwo Psychologiczne.</w:t>
            </w:r>
          </w:p>
          <w:p w14:paraId="62965DB1" w14:textId="77777777" w:rsidR="00DF27F0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lang w:val="pl"/>
              </w:rPr>
            </w:pPr>
            <w:proofErr w:type="spellStart"/>
            <w:r>
              <w:rPr>
                <w:rFonts w:ascii="Times New Roman" w:hAnsi="Times New Roman"/>
                <w:bCs/>
                <w:lang w:val="pl"/>
              </w:rPr>
              <w:t>Yalom</w:t>
            </w:r>
            <w:proofErr w:type="spellEnd"/>
            <w:r>
              <w:rPr>
                <w:rFonts w:ascii="Times New Roman" w:hAnsi="Times New Roman"/>
                <w:bCs/>
                <w:lang w:val="pl"/>
              </w:rPr>
              <w:t xml:space="preserve">, I.D. (2020). </w:t>
            </w:r>
            <w:r>
              <w:rPr>
                <w:rFonts w:ascii="Times New Roman" w:hAnsi="Times New Roman"/>
                <w:bCs/>
                <w:i/>
                <w:iCs/>
                <w:lang w:val="pl"/>
              </w:rPr>
              <w:t>Istoty ulotne</w:t>
            </w:r>
            <w:r>
              <w:rPr>
                <w:rFonts w:ascii="Times New Roman" w:hAnsi="Times New Roman"/>
                <w:bCs/>
                <w:lang w:val="pl"/>
              </w:rPr>
              <w:t>. Warszawa: Wydawnictwo Czarna Owca.</w:t>
            </w:r>
          </w:p>
        </w:tc>
      </w:tr>
      <w:tr w:rsidR="00DF27F0" w14:paraId="157BB2AD" w14:textId="77777777">
        <w:trPr>
          <w:trHeight w:val="629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73DD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7BF4A977" w14:textId="77777777" w:rsidR="00DF27F0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(40%).</w:t>
            </w:r>
          </w:p>
          <w:p w14:paraId="741645AB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Ocena pracy w symulacji klinicznej (60%).</w:t>
            </w:r>
          </w:p>
        </w:tc>
      </w:tr>
      <w:tr w:rsidR="00DF27F0" w14:paraId="192D97C4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824C92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C05FF2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DF27F0" w14:paraId="099F815D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3ED4F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WARSZTATY: </w:t>
            </w:r>
          </w:p>
          <w:p w14:paraId="4E539E87" w14:textId="77777777" w:rsidR="00DF27F0" w:rsidRDefault="00DF27F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F09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7F7D3EFB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02E626FD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Book Antiqua" w:hAnsi="Times New Roman" w:cs="Book Antiqua"/>
                <w:lang w:val="pl" w:eastAsia="pl-PL"/>
              </w:rPr>
              <w:t>a</w:t>
            </w: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ktywność podczas zajęć, w tym udział w dyskusjach, analizie przypadków oraz ćwiczeniach praktycznych.</w:t>
            </w:r>
          </w:p>
          <w:p w14:paraId="52725881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-ocena scenki symulacyjnej z udziałem studenta</w:t>
            </w:r>
          </w:p>
          <w:p w14:paraId="07BA273C" w14:textId="77777777" w:rsidR="00DF27F0" w:rsidRDefault="00DF27F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0B7FCF2A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413B31BC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 z pacjentem indywidualnym.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fachowego słownictwa.</w:t>
            </w:r>
          </w:p>
          <w:p w14:paraId="16EFCAF9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084A657D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 z pacjentem indywidualnym.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fachowego słownictwa. Podczas symulacji student popełnia drobne błędy.</w:t>
            </w:r>
          </w:p>
          <w:p w14:paraId="29241446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682A8D2E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 z pacjentem indywidualnym.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fachowego słownictwa. Podczas symulacji student często popełnia drobne błędy.</w:t>
            </w:r>
          </w:p>
          <w:p w14:paraId="4377100D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49AFA39B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</w:t>
            </w: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lastRenderedPageBreak/>
              <w:t xml:space="preserve">w kontakcie z pacjentem indywidualnym, reaguje w sposób etyczny i zgodny z aktualną wiedzą psychologiczną. Potrafi dostosować sposób swojej reakcji do reakcji prezentowanej przez pacjenta, wykorzystuje różnorodne metody pracy z pacjentem indywidualnym.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fachowego słownictwa. Podczas symulacji student popełnia znaczne błędy.</w:t>
            </w:r>
          </w:p>
          <w:p w14:paraId="722445D3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497ABA8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 z pacjentem indywidualnym.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fachowego słownictwa. Podczas symulacji student często popełnia znaczne błędy.</w:t>
            </w:r>
          </w:p>
          <w:p w14:paraId="79A13D8B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39C304E4" w14:textId="77777777" w:rsidR="00DF27F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Student nie potrafi przyjąć roli pacjenta, nie przedstawia w sposób spójny problematyki pacjenta, nie reaguje do zgłaszanej problematyki. Student nie potrafi przyjąć roli psychologa w kontakcie z pacjentem indywidualnym, nie reaguje w sposób etyczny lub w sposób niezgodny z aktualną wiedzą psychologiczną.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>Konceptualizując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val="pl" w:eastAsia="pl-PL"/>
              </w:rPr>
              <w:t xml:space="preserve"> pacjenta student używa potocznego słownictwa.</w:t>
            </w:r>
          </w:p>
        </w:tc>
      </w:tr>
      <w:tr w:rsidR="00DF27F0" w14:paraId="14158677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7327ACB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Efekty uczenia się dla przedmiotu</w:t>
            </w:r>
          </w:p>
          <w:p w14:paraId="769D8573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Warszaty</w:t>
            </w:r>
            <w:proofErr w:type="spellEnd"/>
          </w:p>
        </w:tc>
      </w:tr>
      <w:tr w:rsidR="00DF27F0" w14:paraId="15DC3384" w14:textId="77777777">
        <w:trPr>
          <w:trHeight w:val="100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8D4361C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2C9076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AED2DC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DF27F0" w14:paraId="5F3D1DDE" w14:textId="77777777">
        <w:trPr>
          <w:trHeight w:val="671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1084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PKDP_W05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6F53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ma pogłębioną wiedzę o mechanizmach funkcjonowania relacji terapeutycznej oraz o znaczeniu czynników terapeutycznych w procesie psychoterapii, w tym o ich złożonym charakterze i wpływie na przebieg procesu terapeutycznego.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6EAF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</w:tr>
      <w:tr w:rsidR="00DF27F0" w14:paraId="53B84FF9" w14:textId="77777777">
        <w:trPr>
          <w:trHeight w:val="671"/>
          <w:jc w:val="center"/>
        </w:trPr>
        <w:tc>
          <w:tcPr>
            <w:tcW w:w="1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B5E0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PKDP_U04</w:t>
            </w:r>
          </w:p>
        </w:tc>
        <w:tc>
          <w:tcPr>
            <w:tcW w:w="59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1F40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potrafi opracować koncepcję przypadku oraz plan pomocy psychologicznej lub oddziaływań terapeutycznych.</w:t>
            </w:r>
          </w:p>
        </w:tc>
        <w:tc>
          <w:tcPr>
            <w:tcW w:w="1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C207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DF27F0" w14:paraId="6A4A2EE5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DD98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PKDP_U06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FDC4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potrafi nawiązać i utrzymać profesjonalną relację terapeutyczną z pacjentem, z uwzględnieniem jego potrzeb i możliwości.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111C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</w:tr>
      <w:tr w:rsidR="00DF27F0" w14:paraId="2EEB7C56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5EB39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AFFE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jest gotów do przestrzegania zasad etyki zawodowej psychologa i psychoterapeuty, w szczególności zasad poufności, odpowiedzialności i poszanowania godności pacjenta.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6549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 w:rsidR="00DF27F0" w14:paraId="3CE0F8AE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A86A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PKDP_K02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B4AF" w14:textId="77777777" w:rsidR="00DF27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jest gotów do refleksji nad własnymi kompetencjami oraz do stałego rozwoju zawodowego i osobistego w obszarze diagnozy klinicznej i psychoterapii.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9708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K_K02</w:t>
            </w:r>
          </w:p>
        </w:tc>
      </w:tr>
      <w:tr w:rsidR="00DF27F0" w14:paraId="6A8D7C06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FED5" w14:textId="77777777" w:rsidR="00DF27F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PKDP_K03</w:t>
            </w:r>
          </w:p>
        </w:tc>
        <w:tc>
          <w:tcPr>
            <w:tcW w:w="59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0021" w14:textId="77777777" w:rsidR="00DF27F0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Absolwent jest gotów do odpowiedzialnego podejmowania działań diagnostycznych i terapeutycznych oraz współpracy z innymi specjalistami w procesie leczenia i pomocy psychologicznej.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C829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K_K10</w:t>
            </w:r>
          </w:p>
        </w:tc>
      </w:tr>
      <w:tr w:rsidR="00DF27F0" w14:paraId="1CA17CCF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DBD5AF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DF27F0" w14:paraId="1297EEDC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A3DC9B1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6F89DB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5086874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9C1870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562428D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Odniesienie danego efektu do metod </w:t>
            </w:r>
            <w:r>
              <w:rPr>
                <w:rFonts w:ascii="Times New Roman" w:hAnsi="Times New Roman"/>
              </w:rPr>
              <w:lastRenderedPageBreak/>
              <w:t>kształcenia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9FE819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Odniesienie danego efektu </w:t>
            </w:r>
            <w:r>
              <w:rPr>
                <w:rFonts w:ascii="Times New Roman" w:hAnsi="Times New Roman"/>
              </w:rPr>
              <w:lastRenderedPageBreak/>
              <w:t>do sposobów oceny</w:t>
            </w:r>
          </w:p>
        </w:tc>
      </w:tr>
      <w:tr w:rsidR="00DF27F0" w14:paraId="1B6231B5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B3376D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Wiedza</w:t>
            </w:r>
          </w:p>
        </w:tc>
      </w:tr>
      <w:tr w:rsidR="00DF27F0" w14:paraId="00530E57" w14:textId="77777777">
        <w:trPr>
          <w:trHeight w:val="567"/>
          <w:jc w:val="center"/>
        </w:trPr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19AFD1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PKDP_W05</w:t>
            </w:r>
          </w:p>
        </w:tc>
        <w:tc>
          <w:tcPr>
            <w:tcW w:w="1587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7AAE34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K_W12</w:t>
            </w:r>
          </w:p>
        </w:tc>
        <w:tc>
          <w:tcPr>
            <w:tcW w:w="152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79F376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7D9F02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T1-T9</w:t>
            </w:r>
          </w:p>
        </w:tc>
        <w:tc>
          <w:tcPr>
            <w:tcW w:w="136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49B87E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7660E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DF27F0" w14:paraId="4BBE4A63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59DEA0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DF27F0" w14:paraId="35B5F7D7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8AE4" w14:textId="77777777" w:rsidR="00DF27F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PKDP_U04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3175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2D2C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B863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T1-T9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AB224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D270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DF27F0" w14:paraId="11E58D26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D530" w14:textId="77777777" w:rsidR="00DF27F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PKDP_U06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635B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A0DB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C2B6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T1-T9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68BA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Mk3, Mk4, Mk5, Mk6, Mk7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92A5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DF27F0" w14:paraId="67C2432D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64B00A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DF27F0" w14:paraId="4DE7CDCB" w14:textId="77777777">
        <w:trPr>
          <w:trHeight w:val="567"/>
          <w:jc w:val="center"/>
        </w:trPr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037F" w14:textId="77777777" w:rsidR="00DF27F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PKDP_K02</w:t>
            </w: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D310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FE1EE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4E7D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T1-T9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E1E3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Mk3, Mk4, Mk5, Mk6, Mk7</w:t>
            </w: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816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DF27F0" w14:paraId="26E26D1F" w14:textId="77777777">
        <w:trPr>
          <w:trHeight w:val="567"/>
          <w:jc w:val="center"/>
        </w:trPr>
        <w:tc>
          <w:tcPr>
            <w:tcW w:w="906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CEC182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DF27F0" w14:paraId="56F4CAFE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57811062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D5E5C71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80D108C" w14:textId="77777777" w:rsidR="00DF27F0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840BF3A" w14:textId="77777777" w:rsidR="00DF27F0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DF27F0" w14:paraId="3469D25B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081C5196" w14:textId="77777777" w:rsidR="00DF27F0" w:rsidRDefault="00DF27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vMerge/>
            <w:vAlign w:val="center"/>
          </w:tcPr>
          <w:p w14:paraId="41729CC4" w14:textId="77777777" w:rsidR="00DF27F0" w:rsidRDefault="00DF27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64F4EAA9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22DB3EF8" w14:textId="77777777" w:rsidR="00DF27F0" w:rsidRDefault="00DF27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500B874F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5" w:type="dxa"/>
            <w:gridSpan w:val="3"/>
            <w:vMerge/>
            <w:vAlign w:val="center"/>
          </w:tcPr>
          <w:p w14:paraId="6552CC05" w14:textId="77777777" w:rsidR="00DF27F0" w:rsidRDefault="00DF27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F27F0" w14:paraId="23A6B1CB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AE2C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1A1E7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7ACD058A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9AB3" w14:textId="77777777" w:rsidR="00DF27F0" w:rsidRDefault="00DF27F0" w:rsidP="00266D5C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1C0D0" w14:textId="4AABFC8F" w:rsidR="00DF27F0" w:rsidRDefault="00DF27F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</w:p>
          <w:p w14:paraId="4E1EA1BC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8FA7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DF27F0" w14:paraId="129DD85D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6E18" w14:textId="77777777" w:rsidR="00DF27F0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F7524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F1E4" w14:textId="0930309D" w:rsidR="00DF27F0" w:rsidRDefault="00266D5C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  <w:p w14:paraId="1525B5C9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BA088" w14:textId="1A7EC0B2" w:rsidR="00DF27F0" w:rsidRDefault="00266D5C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530A6A4E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1790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DF27F0" w14:paraId="69E5B5DE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23496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3A283F4D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3A86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0071" w14:textId="4269BE3B" w:rsidR="00DF27F0" w:rsidRDefault="00266D5C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01F" w14:textId="0FC7D197" w:rsidR="00DF27F0" w:rsidRDefault="00266D5C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</w:tc>
        <w:tc>
          <w:tcPr>
            <w:tcW w:w="13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BC7B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DF27F0" w14:paraId="43408A3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E7CE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A1BB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38E1" w14:textId="77777777" w:rsidR="00DF27F0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078C" w14:textId="108849AC" w:rsidR="00DF27F0" w:rsidRDefault="00266D5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00000">
              <w:rPr>
                <w:rFonts w:ascii="Times New Roman" w:hAnsi="Times New Roman"/>
              </w:rPr>
              <w:t>0</w:t>
            </w: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70C8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1AC1B073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267E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6053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44F7" w14:textId="77777777" w:rsidR="00DF27F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9877" w14:textId="67C1562E" w:rsidR="00DF27F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66D5C">
              <w:rPr>
                <w:rFonts w:ascii="Times New Roman" w:hAnsi="Times New Roman"/>
              </w:rPr>
              <w:t>0</w:t>
            </w: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D3D1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40B416A5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F61C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4AD7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FC90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CEDB7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514E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330D3F7F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4C7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7228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3688" w14:textId="77777777" w:rsidR="00DF27F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DC9D" w14:textId="77777777" w:rsidR="00DF27F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71BE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3CD1B21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AAD4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49A1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6B53" w14:textId="0BB32AA2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60DB8" w14:textId="419145D5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1906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35381DC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6EC1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BDC0" w14:textId="77777777" w:rsidR="00DF27F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4E35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30D4" w14:textId="77777777" w:rsidR="00DF27F0" w:rsidRDefault="00DF27F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0C3C" w14:textId="77777777" w:rsidR="00DF27F0" w:rsidRDefault="00DF27F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DF27F0" w14:paraId="38EB1A94" w14:textId="77777777">
        <w:trPr>
          <w:trHeight w:val="567"/>
          <w:jc w:val="center"/>
        </w:trPr>
        <w:tc>
          <w:tcPr>
            <w:tcW w:w="44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DA6BA6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A60A6C9" w14:textId="77777777" w:rsidR="00DF27F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75</w:t>
            </w:r>
          </w:p>
        </w:tc>
      </w:tr>
      <w:tr w:rsidR="00DF27F0" w14:paraId="5C485610" w14:textId="77777777">
        <w:trPr>
          <w:trHeight w:val="567"/>
          <w:jc w:val="center"/>
        </w:trPr>
        <w:tc>
          <w:tcPr>
            <w:tcW w:w="44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676407" w14:textId="77777777" w:rsidR="00DF27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F75263A" w14:textId="6CE4456C" w:rsidR="00DF27F0" w:rsidRDefault="00266D5C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3</w:t>
            </w:r>
          </w:p>
        </w:tc>
      </w:tr>
    </w:tbl>
    <w:p w14:paraId="5E1A793B" w14:textId="77777777" w:rsidR="00DF27F0" w:rsidRDefault="00DF27F0">
      <w:pPr>
        <w:pStyle w:val="Akapitzlist"/>
        <w:ind w:left="360"/>
        <w:jc w:val="center"/>
        <w:rPr>
          <w:sz w:val="22"/>
          <w:szCs w:val="22"/>
        </w:rPr>
      </w:pPr>
    </w:p>
    <w:p w14:paraId="38A9A8F9" w14:textId="77777777" w:rsidR="00DF27F0" w:rsidRDefault="00DF27F0">
      <w:pPr>
        <w:pStyle w:val="Akapitzlist"/>
        <w:ind w:left="360"/>
        <w:jc w:val="center"/>
        <w:rPr>
          <w:sz w:val="22"/>
          <w:szCs w:val="22"/>
        </w:rPr>
      </w:pPr>
    </w:p>
    <w:p w14:paraId="5FC41872" w14:textId="77777777" w:rsidR="00DF27F0" w:rsidRDefault="00DF27F0">
      <w:pPr>
        <w:pStyle w:val="Akapitzlist"/>
        <w:ind w:left="360"/>
        <w:jc w:val="center"/>
        <w:rPr>
          <w:sz w:val="22"/>
          <w:szCs w:val="22"/>
        </w:rPr>
      </w:pPr>
    </w:p>
    <w:sectPr w:rsidR="00DF27F0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1E1D" w14:textId="77777777" w:rsidR="006F64FA" w:rsidRDefault="006F64FA">
      <w:pPr>
        <w:spacing w:after="0" w:line="240" w:lineRule="auto"/>
      </w:pPr>
      <w:r>
        <w:separator/>
      </w:r>
    </w:p>
  </w:endnote>
  <w:endnote w:type="continuationSeparator" w:id="0">
    <w:p w14:paraId="3D8EBEDB" w14:textId="77777777" w:rsidR="006F64FA" w:rsidRDefault="006F6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4B7C" w14:textId="77777777" w:rsidR="00DF27F0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5148691F" wp14:editId="61F59A6F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6327BCD" wp14:editId="79C43B64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AEAF1" w14:textId="77777777" w:rsidR="006F64FA" w:rsidRDefault="006F64FA">
      <w:pPr>
        <w:spacing w:after="0" w:line="240" w:lineRule="auto"/>
      </w:pPr>
      <w:r>
        <w:separator/>
      </w:r>
    </w:p>
  </w:footnote>
  <w:footnote w:type="continuationSeparator" w:id="0">
    <w:p w14:paraId="394793C2" w14:textId="77777777" w:rsidR="006F64FA" w:rsidRDefault="006F6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F485" w14:textId="77777777" w:rsidR="00DF27F0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7A4F8BC8" wp14:editId="58B2753C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05A2"/>
    <w:multiLevelType w:val="multilevel"/>
    <w:tmpl w:val="B15A7D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C6C5733"/>
    <w:multiLevelType w:val="multilevel"/>
    <w:tmpl w:val="F79A55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B80366A"/>
    <w:multiLevelType w:val="multilevel"/>
    <w:tmpl w:val="7EDC39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49585406">
    <w:abstractNumId w:val="2"/>
  </w:num>
  <w:num w:numId="2" w16cid:durableId="536164294">
    <w:abstractNumId w:val="1"/>
  </w:num>
  <w:num w:numId="3" w16cid:durableId="199516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F0"/>
    <w:rsid w:val="00266D5C"/>
    <w:rsid w:val="006F64FA"/>
    <w:rsid w:val="00DF27F0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193767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1664</Words>
  <Characters>10500</Characters>
  <Application>Microsoft Office Word</Application>
  <DocSecurity>0</DocSecurity>
  <Lines>233</Lines>
  <Paragraphs>118</Paragraphs>
  <ScaleCrop>false</ScaleCrop>
  <Company>MRR</Company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46</cp:revision>
  <cp:lastPrinted>2023-02-11T13:06:00Z</cp:lastPrinted>
  <dcterms:created xsi:type="dcterms:W3CDTF">2026-02-17T10:53:00Z</dcterms:created>
  <dcterms:modified xsi:type="dcterms:W3CDTF">2026-03-12T22:10:00Z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