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0" w:noVBand="0" w:lastRow="0" w:firstColumn="0" w:lastColumn="0" w:noHBand="0" w:val="0000"/>
      </w:tblPr>
      <w:tblGrid>
        <w:gridCol w:w="1282"/>
        <w:gridCol w:w="131"/>
        <w:gridCol w:w="233"/>
        <w:gridCol w:w="334"/>
        <w:gridCol w:w="843"/>
        <w:gridCol w:w="338"/>
        <w:gridCol w:w="944"/>
        <w:gridCol w:w="252"/>
        <w:gridCol w:w="111"/>
        <w:gridCol w:w="1718"/>
        <w:gridCol w:w="562"/>
        <w:gridCol w:w="50"/>
        <w:gridCol w:w="423"/>
        <w:gridCol w:w="45"/>
        <w:gridCol w:w="495"/>
        <w:gridCol w:w="5"/>
        <w:gridCol w:w="359"/>
        <w:gridCol w:w="32"/>
        <w:gridCol w:w="909"/>
      </w:tblGrid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  <w:p>
            <w:pPr>
              <w:pStyle w:val="Heading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4961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Ćwiczenia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start="0"/>
              <w:jc w:val="star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Heading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hanging="576" w:start="57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576" w:start="57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przedmiotu kształcenia: </w:t>
            </w:r>
            <w:r>
              <w:rPr>
                <w:rFonts w:eastAsia="Arial Unicode MS" w:cs="Times New Roman" w:ascii="Times New Roman" w:hAnsi="Times New Roman"/>
                <w:color w:val="000000"/>
                <w:sz w:val="22"/>
                <w:szCs w:val="22"/>
                <w:u w:val="none" w:color="FF0000"/>
              </w:rPr>
              <w:t>DIAGNOZA PENITENCJARNA SPRAWCÓW PRZESTĘPSTW</w:t>
            </w:r>
          </w:p>
        </w:tc>
      </w:tr>
      <w:tr>
        <w:trPr>
          <w:trHeight w:val="2190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</w:t>
            </w:r>
          </w:p>
          <w:p>
            <w:pPr>
              <w:pStyle w:val="BodyText"/>
              <w:widowControl w:val="false"/>
              <w:jc w:val="star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Wykład:</w:t>
            </w:r>
          </w:p>
          <w:p>
            <w:pPr>
              <w:pStyle w:val="BodyText"/>
              <w:widowControl w:val="false"/>
              <w:jc w:val="star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C1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Pogłębienie wiedzy z zakresu teoretycznych koncepcji, celów i funkcji diagnozy penitencjarnej oraz jej znaczenia w procesie resocjalizacji sprawców przestępstw. </w:t>
            </w:r>
          </w:p>
          <w:p>
            <w:pPr>
              <w:pStyle w:val="BodyText"/>
              <w:widowControl w:val="false"/>
              <w:jc w:val="star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C2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Pogłębienie wiedzy o psychologicznych i społecznych uwarunkowaniach funkcjonowania osób pozbawionych wolności oraz ich znaczeniu dla procesu diagnozy penitencjarnej. </w:t>
            </w:r>
          </w:p>
          <w:p>
            <w:pPr>
              <w:pStyle w:val="BodyText"/>
              <w:widowControl w:val="false"/>
              <w:jc w:val="star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C3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Pogłębienie wiedzy o metodach, narzędziach i zasadach prowadzenia diagnozy penitencjarnej oraz jej roli w planowaniu oddziaływań resocjalizacyjnych. </w:t>
            </w:r>
          </w:p>
          <w:p>
            <w:pPr>
              <w:pStyle w:val="BodyText"/>
              <w:widowControl w:val="false"/>
              <w:jc w:val="star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Ćwiczenia:</w:t>
            </w:r>
          </w:p>
          <w:p>
            <w:pPr>
              <w:pStyle w:val="BodyText"/>
              <w:widowControl w:val="false"/>
              <w:jc w:val="star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C1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Doskonalenie umiejętności analizy przypadków osób pozbawionych wolności z wykorzystaniem danych psychologicznych i społecznych. </w:t>
            </w:r>
          </w:p>
          <w:p>
            <w:pPr>
              <w:pStyle w:val="BodyText"/>
              <w:widowControl w:val="false"/>
              <w:jc w:val="star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C2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Doskonalenie umiejętności planowania i interpretacji diagnozy penitencjarnej oraz formułowania wniosków na potrzeby oddziaływań resocjalizacyjnych. </w:t>
            </w:r>
          </w:p>
          <w:p>
            <w:pPr>
              <w:pStyle w:val="BodyText"/>
              <w:widowControl w:val="false"/>
              <w:jc w:val="star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C3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Doskonalenie umiejętności integrowania danych diagnostycznych oraz krytycznej analizy procesu diagnozy penitencjarnej z uwzględnieniem standardów metodologicznych i etycznych. 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Przedmiot wprowadzający: Diagnoza psychologiczna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jc w:val="star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Wymagania wstępne w zakresie wiedzy, umiejętności i kompetencji:</w:t>
            </w:r>
          </w:p>
          <w:p>
            <w:pPr>
              <w:pStyle w:val="western"/>
              <w:widowControl w:val="false"/>
              <w:spacing w:lineRule="auto" w:line="240" w:beforeAutospacing="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Ws1 – 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Wiedza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dotycząca mechanizmów zachowania człowieka w sytuacjach konfliktowych, podstaw komunikacji interpersonalnej oraz zasad diagnozy psychologicznej.</w:t>
            </w:r>
          </w:p>
          <w:p>
            <w:pPr>
              <w:pStyle w:val="western"/>
              <w:widowControl w:val="false"/>
              <w:spacing w:lineRule="auto" w:line="240" w:beforeAutospacing="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Ws2 – 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U</w:t>
            </w:r>
            <w:r>
              <w:rPr>
                <w:rFonts w:ascii="Times New Roman" w:hAnsi="Times New Roman"/>
                <w:sz w:val="22"/>
                <w:szCs w:val="22"/>
              </w:rPr>
              <w:t>miejętność analizy sytuacji interpersonalnych oraz interpretowania zachowań jednostki w kontekście psychologicznym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.</w:t>
            </w:r>
          </w:p>
          <w:p>
            <w:pPr>
              <w:pStyle w:val="western"/>
              <w:widowControl w:val="false"/>
              <w:spacing w:lineRule="auto" w:line="240" w:beforeAutospacing="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Ws3 –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G</w:t>
            </w:r>
            <w:r>
              <w:rPr>
                <w:rFonts w:ascii="Times New Roman" w:hAnsi="Times New Roman"/>
                <w:sz w:val="22"/>
                <w:szCs w:val="22"/>
              </w:rPr>
              <w:t>otowość do przestrzegania zasad etyki zawodowej psychologa, świadomość granic własnych kompetencji oraz odpowiedzialne podejście do pracy z osobami znajdującymi się w sytuacjach konfliktowych lub objętych oddziaływaniami instytucjonalnymi.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</w:t>
            </w:r>
            <w:r>
              <w:rPr>
                <w:rFonts w:ascii="Times New Roman" w:hAnsi="Times New Roman"/>
                <w:sz w:val="22"/>
                <w:szCs w:val="22"/>
              </w:rPr>
              <w:t>wykład informacyjny z elementami wykładu problemowego,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wykład konwersatoryjny 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ĆWICZENIA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Mk3 </w:t>
            </w:r>
            <w:r>
              <w:rPr>
                <w:rFonts w:ascii="Times New Roman" w:hAnsi="Times New Roman"/>
                <w:sz w:val="22"/>
                <w:szCs w:val="22"/>
              </w:rPr>
              <w:t>analiza studiów przypadków sprawców przestępstw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dyskusja problemowa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Mk5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praca indywidualna i zespołowa nad konceptualizacją przypadku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Pomoce dydaktyczne: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Pd1 prezentacje multimedialne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Pd2 akty prawne i dokumenty regulujące funkcjonowanie systemu penitencjarnego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Pd3 opisy przypadków sprawców przestępstw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Pd4 materiały źródłowe (raporty, opinie psychologiczne – w wersji dydaktycznej)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 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Pojęcie, cele i etapy diagnozy penitencjarnej.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T2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Regulacje prawne dotyczące diagnozy psychologicznej w warunkach penitencjarnych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T3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Znaczenie diagnozy w procesie resocjalizacji i readaptacji społecznej.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T4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Rola i kompetencje psychologa w Służbie Więziennej oraz aspekty etyczne diagnozy.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T5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Specyfika relacji diagnostycznej w warunkach izolacji penitencjarnej.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T6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Opinia psychologiczna i orzeczenie psychologiczno-penitencjarne – cel, struktura i funkcje.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T7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Ocena funkcjonowania psychicznego i społecznego osób pozbawionych wolności.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T8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Metody i narzędzia stosowane w diagnozie penitencjarnej.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T9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Znaczenie diagnozy w planowaniu oddziaływań resocjalizacyjnych i terapeutycznych.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T10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Dokumentacja psychologiczna i współpraca zespołu interdyscyplinarnego.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Studium przypadku osadzonego – identyfikacja etapów procesu diagnostycznego.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T2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Analiza dokumentacji penitencjarnej i identyfikacja danych istotnych diagnostycznie.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T3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Planowanie procesu diagnozy penitencjarnej oraz dobór metod diagnostycznych.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T4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Analiza przypadków osadzonych i kwalifikacja do sporządzenia opinii psychologicznej lub orzeczenia.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T5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Redagowanie fragmentów opinii psychologicznej oraz formułowanie wniosków diagnostycznych.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T6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Ocena poprawności, rzetelności i trafności opinii psychologicznej.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T7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Interpretacja wyników diagnozy i formułowanie rekomendacji do oddziaływań resocjalizacyjnych lub terapeutycznych.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T8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Planowanie działań resocjalizacyjnych i terapeutycznych w oparciu o diagnozę penitencjarną.</w:t>
            </w:r>
            <w:r>
              <w:rPr>
                <w:rFonts w:eastAsia="Arial Unicode MS" w:ascii="Times New Roman" w:hAnsi="Times New Roman"/>
                <w:bCs/>
                <w:sz w:val="22"/>
                <w:szCs w:val="22"/>
                <w:lang w:eastAsia="pl-PL"/>
              </w:rPr>
              <w:t xml:space="preserve"> Praca z narzędziami.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08"/>
              </w:tabs>
              <w:ind w:hanging="360" w:start="35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Pastwa-Wojciechowska, B. Czy jedna diagnoza wystarczy?. W: 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Dożywotni więźniowie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(pp. 381-408). Wydawnictwa Uniwersytetu Warszawskiego.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08"/>
              </w:tabs>
              <w:ind w:hanging="360" w:start="35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Eichstaedt K., Gałecki P., Depko A.(2014). Metodyka pracy biegłego psychiatry, psychologa oraz seksuologa w sprawach karnych, nieletnich oraz wykroczeń. Warszawa, LexisNexis. Część druga. Opiniowanie psychiatryczne, psychologiczne oraz seksuologiczne w sprawach karnych, nieletnich i wykroczeń.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eastAsia="Book Antiqua" w:ascii="Times New Roman" w:hAnsi="Times New Roman"/>
                <w:sz w:val="22"/>
                <w:szCs w:val="22"/>
              </w:rPr>
              <w:t xml:space="preserve">Rozdział XII. Prognoza społeczno-kryminologiczna dokonana w opinii sporządzonej przez biegłego psychologa.  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08"/>
              </w:tabs>
              <w:ind w:hanging="360" w:start="35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Friedrich, W. (2015). Diagnoza penitencjarna sprawc</w:t>
            </w:r>
            <w:r>
              <w:rPr>
                <w:rFonts w:ascii="Times New Roman" w:hAnsi="Times New Roman"/>
                <w:sz w:val="22"/>
                <w:szCs w:val="22"/>
                <w:lang w:val="es-ES_tradnl"/>
              </w:rPr>
              <w:t>ó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w przestępstw. 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Resocjalizacja Polska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9</w:t>
            </w:r>
            <w:r>
              <w:rPr>
                <w:rFonts w:ascii="Times New Roman" w:hAnsi="Times New Roman"/>
                <w:sz w:val="22"/>
                <w:szCs w:val="22"/>
              </w:rPr>
              <w:t>(1), 43-54.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08"/>
              </w:tabs>
              <w:ind w:hanging="360" w:start="35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Gordon, M. Diagnoza psychologiczno-penitencjarna skazanych na dożywotnie pozbawienie wolnoś</w:t>
            </w:r>
            <w:r>
              <w:rPr>
                <w:rFonts w:ascii="Times New Roman" w:hAnsi="Times New Roman"/>
                <w:sz w:val="22"/>
                <w:szCs w:val="22"/>
                <w:lang w:val="it-IT"/>
              </w:rPr>
              <w:t xml:space="preserve">ci. W: 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Dożywotni więźniowie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(pp. 333-380). Wydawnictwa Uniwersytetu Warszawskiego.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08"/>
              </w:tabs>
              <w:ind w:hanging="360" w:start="35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color w:val="000000"/>
                <w:sz w:val="22"/>
                <w:szCs w:val="22"/>
              </w:rPr>
              <w:t xml:space="preserve">Poklek, R. (2017). Badania osobopoznawcze w penitencjarystyce. </w:t>
            </w:r>
            <w:r>
              <w:rPr>
                <w:rFonts w:eastAsia="Arial Unicode MS" w:ascii="Times New Roman" w:hAnsi="Times New Roman"/>
                <w:i/>
                <w:iCs/>
                <w:color w:val="000000"/>
                <w:sz w:val="22"/>
                <w:szCs w:val="22"/>
              </w:rPr>
              <w:t>Resocjalizacja Polska</w:t>
            </w:r>
            <w:r>
              <w:rPr>
                <w:rFonts w:eastAsia="Arial Unicode MS" w:ascii="Times New Roman" w:hAnsi="Times New Roman"/>
                <w:color w:val="000000"/>
                <w:sz w:val="22"/>
                <w:szCs w:val="22"/>
              </w:rPr>
              <w:t xml:space="preserve">, </w:t>
            </w:r>
            <w:r>
              <w:rPr>
                <w:rFonts w:eastAsia="Arial Unicode MS" w:ascii="Times New Roman" w:hAnsi="Times New Roman"/>
                <w:i/>
                <w:iCs/>
                <w:color w:val="000000"/>
                <w:sz w:val="22"/>
                <w:szCs w:val="22"/>
              </w:rPr>
              <w:t>14</w:t>
            </w:r>
            <w:r>
              <w:rPr>
                <w:rFonts w:eastAsia="Arial Unicode MS" w:ascii="Times New Roman" w:hAnsi="Times New Roman"/>
                <w:color w:val="000000"/>
                <w:sz w:val="22"/>
                <w:szCs w:val="22"/>
              </w:rPr>
              <w:t>(2), 41-57.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ĆWICZENIA: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val="clear" w:pos="708"/>
              </w:tabs>
              <w:ind w:hanging="360" w:start="35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Ciosek, M., &amp; Pastwa-Wojciechowska, B. (Red.). (2016). Psychologia penitencjarna. Wydawnictwo Naukowe PWN.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val="clear" w:pos="708"/>
              </w:tabs>
              <w:ind w:hanging="360" w:start="35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Badura-Brzoza, K., Błachut, M., Dębski, P. (2024). Psychiatria sądowa : dla studentów medycyny, lekarzy specjalizujących się w dziedzinie psychiatrii oraz psychologów : postępowanie karne. Katowice : Śląski Uniwersytet Medyczny w Katowicach. Rozdziały: 5 i 7. 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hd w:val="clear" w:color="auto" w:fill="FFFFFF"/>
              <w:tabs>
                <w:tab w:val="clear" w:pos="708"/>
              </w:tabs>
              <w:spacing w:lineRule="auto" w:line="240" w:before="0" w:after="0"/>
              <w:ind w:hanging="360" w:start="354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Korona, K. W. (2021). W poszukiwaniu skutecznej diagnozy penitencjarnej. Annales Universitatis Mariae Curie-Skłodowska, sectio J–</w:t>
            </w:r>
            <w:r>
              <w:rPr>
                <w:rFonts w:eastAsia="Arial Unicode MS" w:ascii="Times New Roman" w:hAnsi="Times New Roman"/>
                <w:sz w:val="22"/>
                <w:szCs w:val="22"/>
                <w:lang w:val="it-IT" w:eastAsia="pl-PL"/>
              </w:rPr>
              <w:t>Paedagogia-Psychologia, 33(4), 9-22.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start="72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629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beforeAutospacing="0" w:before="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Web"/>
              <w:widowControl w:val="false"/>
              <w:spacing w:beforeAutospacing="0" w:before="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aktywność i udział w dyskusji dydaktycznej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F2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odpowiedzi ustne w trakcie zajęć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egzamin pisemny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obejmujący zagadnienia teoretyczne z zakresu diagnozy penitencjarnej.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ĆWICZENIA: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beforeAutospacing="0" w:before="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Ocena analizy przypadków podczas zajęć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F2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Ocena wykonania zadań praktycznych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(analiza opinii psychologicznej)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sz w:val="22"/>
                <w:szCs w:val="22"/>
                <w:lang w:eastAsia="pl-PL"/>
              </w:rPr>
              <w:t>Ocena pracy pisemnej grupowej (opracowanie pisemnej analizy przypadku lub zadania diagnostycznego)</w:t>
            </w:r>
          </w:p>
        </w:tc>
      </w:tr>
      <w:tr>
        <w:trPr>
          <w:trHeight w:val="610" w:hRule="atLeast"/>
        </w:trPr>
        <w:tc>
          <w:tcPr>
            <w:tcW w:w="198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6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 zaliczenia zajęć</w:t>
            </w:r>
          </w:p>
        </w:tc>
      </w:tr>
      <w:tr>
        <w:trPr>
          <w:trHeight w:val="1701" w:hRule="atLeast"/>
        </w:trPr>
        <w:tc>
          <w:tcPr>
            <w:tcW w:w="198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WYKŁAD: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6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Warunkiem przystąpienia do egzaminu jest uzyskanie zaliczenia z ćwiczeń.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Kryteria oceny: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Ocena bardzo dobra (5,0)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Student wykazuje pogłębioną i uporządkowaną znajomość zagadnień diagnozy penitencjarnej, w pełni rozumie jej koncepcje teoretyczne, cele i metody oraz trafnie i samodzielnie analizuje problemy diagnostyczne. Formułuje wyczerpujące, spójne i poprawne odpowiedzi, wykorzystując właściwą terminologię naukową.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Ocena dobra plus (4,5)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Student wykazuje bardzo dobrą znajomość zagadnień diagnozy penitencjarnej, prawidłowo rozumie jej koncepcje, cele i metody oraz potrafi dokonywać trafnej analizy problemów diagnostycznych. Odpowiedzi są poprawne i logiczne, mogą zawierać drobne nieścisłości lub niewielkie braki w pogłębieniu analizy.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Ocena dobra (4,0)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Student posiada dobrą znajomość zagadnień diagnozy penitencjarnej, rozumie jej główne koncepcje, cele i metody oraz potrafi je wyjaśnić. Odpowiedzi są w większości poprawne, jednak analiza jest ograniczona, a interpretacje nie zawsze są w pełni precyzyjne.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Ocena dostateczna plus (3,5)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Student posiada zadowalającą znajomość zagadnień diagnozy penitencjarnej, rozumie najważniejsze pojęcia i założenia oraz podejmuje próbę ich wyjaśnienia. Odpowiedzi są częściowo poprawne, lecz zawierają braki, uproszczenia lub nie w pełni trafne interpretacje.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Ocena dostateczna (3,0)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Student posiada ograniczoną znajomość zagadnień diagnozy penitencjarnej, rozpoznaje wybrane pojęcia i założenia, jednak jego odpowiedzi są niepełne, odtwórcze i zawierają błędy interpretacyjne. Student wykazuje trudności w analizie problemów diagnostycznych.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Ocena niedostateczna (2,0)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Student nie wykazuje znajomości zagadnień diagnozy penitencjarnej, nie rozumie kluczowych pojęć i metod oraz nie potrafi poprawnie analizować problemów diagnostycznych. Odpowiedzi są niepoprawne, fragmentaryczne lub niezgodne z zakresem treści kształcenia.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Podstawą oceny jest wynik egzaminu pisemnego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rPr>
          <w:trHeight w:val="1701" w:hRule="atLeast"/>
        </w:trPr>
        <w:tc>
          <w:tcPr>
            <w:tcW w:w="198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 xml:space="preserve">ĆWICZENIA: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6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Ocena bardzo dobra (5,0)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Student trafnie i samodzielnie analizuje przypadki, poprawnie interpretuje dane diagnostyczne, formułuje spójne, logiczne i w pełni uzasadnione wnioski oraz konsekwentnie i prawidłowo posługuje się terminologią specjalistyczną.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Ocena dobra plus (4,5)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Student prawidłowo analizuje przypadki i interpretuje dane diagnostyczne, formułuje właściwe i logiczne wnioski oraz poprawnie posługuje się terminologią specjalistyczną. Uzasadnienie wniosków jest w większości trafne, choć nie zawsze w pełni pogłębione.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Ocena dobra (4,0)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Student poprawnie analizuje dane diagnostyczne i formułuje właściwe wnioski, jednak ich uzasadnienie jest częściowo niepełne lub mniej pogłębione. Student w większości poprawnie posługuje się terminologią specjalistyczną.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Ocena dostateczna plus (3,5)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Student dokonuje analizy danych diagnostycznych, jednak ma ona charakter częściowo odtwórczy, a formułowane wnioski są ogólne i nie zawsze w pełni uzasadnione. Student posługuje się terminologią specjalistyczną w ograniczonym zakresie.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Ocena dostateczna (3,0)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Student podejmuje próbę analizy danych diagnostycznych, jednak popełnia błędy interpretacyjne, a formułowane wnioski są niepełne, uproszczone lub wymagają istotnego doprecyzowania. Student wykazuje trudności w prawidłowym posługiwaniu się terminologią specjalistyczną.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Ocena niedostateczna (2,0)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Student nie potrafi poprawnie analizować danych diagnostycznych ani formułować wniosków diagnostycznych oraz nie posługuje się właściwie terminologią specjalistyczną.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themeColor="text1" w:val="000000"/>
                <w:sz w:val="22"/>
                <w:szCs w:val="22"/>
                <w:u w:val="none" w:color="FF0000"/>
                <w:lang w:eastAsia="pl-PL"/>
              </w:rPr>
              <w:t>Ocena końcowa jest ustalana na podstawie wykonania zadań praktycznych, analizy przypadków oraz aktywności podczas zajęć.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5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PS_W05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Absolwent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m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a pogłębioną wiedzę o psychologicznych charakterystykach sprawców przestępstw, w tym o zaburzeniach osobowości, zaburzeniach preferencji seksualnych oraz o mechanizmach funkcjonowania sprawców w grupach przestępczych i środowisku penitencjarnym, z uwzględnieniem uwarunkowań indywidualnych i środowiskowych. </w:t>
            </w:r>
          </w:p>
        </w:tc>
        <w:tc>
          <w:tcPr>
            <w:tcW w:w="1845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PS_W05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C1,C2, C3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T1-T10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Mk1-Mk2</w:t>
            </w:r>
          </w:p>
        </w:tc>
        <w:tc>
          <w:tcPr>
            <w:tcW w:w="94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F1-F2, P1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</w:tc>
      </w:tr>
      <w:tr>
        <w:trPr>
          <w:trHeight w:val="100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PS_U01 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Absolwent p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otrafi przeprowadzić diagnozę psychologiczną na potrzeby opiniowania sądowego z wykorzystaniem właściwych metod i narzędzi, uwzględniając kontekst prawny oraz sytuacyjny osoby badanej. 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PS_U08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Absolwent p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otrafi stosować wiedzę psychologiczną w działaniach wspierających ofiary przestępstw oraz w oddziaływaniach resocjalizacyjnych wobec sprawców, z uwzględnieniem złożonych potrzeb psychologicznych i społecznych uczestników postępowania. 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K_U18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_K01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Absolwent jest gotów do przestrzegania zasad etyki zawodowej psychologa w pracy diagnostycznej i opiniodawczej na potrzeby wymiaru sprawiedliwości, z uwzględnieniem odpowiedzialności społecznej i prawnej tej roli. 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K_K01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PS_W05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T1-T8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</w:t>
            </w:r>
          </w:p>
        </w:tc>
        <w:tc>
          <w:tcPr>
            <w:tcW w:w="9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PS_U01 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T1-T8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</w:t>
            </w:r>
          </w:p>
        </w:tc>
        <w:tc>
          <w:tcPr>
            <w:tcW w:w="9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P1F1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PS_U08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K_U18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C3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T1-T8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</w:t>
            </w:r>
          </w:p>
        </w:tc>
        <w:tc>
          <w:tcPr>
            <w:tcW w:w="9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 F1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Kompetencje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_K01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K_K01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C3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T1-T8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Mk3</w:t>
            </w:r>
          </w:p>
        </w:tc>
        <w:tc>
          <w:tcPr>
            <w:tcW w:w="9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F1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3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5" w:type="dxa"/>
            <w:gridSpan w:val="4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star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75" w:type="dxa"/>
            <w:gridSpan w:val="5"/>
            <w:tcBorders>
              <w:star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5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16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Wykład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35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18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>
        <w:trPr>
          <w:trHeight w:val="949" w:hRule="atLeast"/>
        </w:trPr>
        <w:tc>
          <w:tcPr>
            <w:tcW w:w="16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</w:t>
            </w:r>
          </w:p>
        </w:tc>
        <w:tc>
          <w:tcPr>
            <w:tcW w:w="2822" w:type="dxa"/>
            <w:gridSpan w:val="6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Czytanie wskazanej literatury</w:t>
            </w:r>
          </w:p>
        </w:tc>
        <w:tc>
          <w:tcPr>
            <w:tcW w:w="1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25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40</w:t>
            </w:r>
          </w:p>
        </w:tc>
        <w:tc>
          <w:tcPr>
            <w:tcW w:w="1300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Rozwiązywanie zadań i problemów</w:t>
            </w:r>
          </w:p>
        </w:tc>
        <w:tc>
          <w:tcPr>
            <w:tcW w:w="1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Przygotowanie się do zaliczenia</w:t>
            </w:r>
          </w:p>
        </w:tc>
        <w:tc>
          <w:tcPr>
            <w:tcW w:w="1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Przygotowanie się do egzaminu</w:t>
            </w:r>
          </w:p>
        </w:tc>
        <w:tc>
          <w:tcPr>
            <w:tcW w:w="1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Inne (jakie?)………..</w:t>
            </w:r>
          </w:p>
        </w:tc>
        <w:tc>
          <w:tcPr>
            <w:tcW w:w="1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0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598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150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598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6</w:t>
            </w:r>
          </w:p>
        </w:tc>
      </w:tr>
    </w:tbl>
    <w:p>
      <w:pPr>
        <w:pStyle w:val="ListParagraph"/>
        <w:ind w:start="36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start="36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start="36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317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Verdana">
    <w:charset w:val="ee" w:characterSet="windows-1250"/>
    <w:family w:val="swiss"/>
    <w:pitch w:val="variable"/>
  </w:font>
  <w:font w:name="Courier New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EUAlbertina">
    <w:charset w:val="ee" w:characterSet="windows-1250"/>
    <w:family w:val="roman"/>
    <w:pitch w:val="variable"/>
  </w:font>
  <w:font w:name="Georgia">
    <w:charset w:val="ee" w:characterSet="windows-1250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1276"/>
      <w:rPr/>
    </w:pPr>
    <w:r>
      <w:rPr/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3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1276"/>
      <w:rPr/>
    </w:pPr>
    <w:r>
      <w:rPr/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5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19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19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2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pStyle w:val="Heading2"/>
      <w:lvlText w:val="%1%2"/>
      <w:lvlJc w:val="start"/>
      <w:pPr>
        <w:tabs>
          <w:tab w:val="num" w:pos="576"/>
        </w:tabs>
        <w:ind w:star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decimal"/>
      <w:pStyle w:val="Heading6"/>
      <w:lvlText w:val="%1%2.%3%4%5%6"/>
      <w:lvlJc w:val="start"/>
      <w:pPr>
        <w:tabs>
          <w:tab w:val="num" w:pos="1152"/>
        </w:tabs>
        <w:ind w:start="1152" w:hanging="1152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Heading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start="54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Heading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Heading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Heading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Heading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Heading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Heading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Heading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Heading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user" w:customStyle="1">
    <w:name w:val="Zakotwiczenie przypisu dolnego (user)"/>
    <w:qFormat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CommentText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annotationsubject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BalloonText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BodyText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BodyTextIndent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BodyTextIndent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BodyText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PlainTex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user" w:customStyle="1">
    <w:name w:val="Odwiedzone łącze internetowe (user)"/>
    <w:qFormat/>
    <w:rsid w:val="009d490c"/>
    <w:rPr>
      <w:color w:val="800080"/>
      <w:u w:val="single"/>
    </w:rPr>
  </w:style>
  <w:style w:type="character" w:styleId="NagwekZnak" w:customStyle="1">
    <w:name w:val="Nagłówek Zna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user" w:customStyle="1">
    <w:name w:val="Łącze internetowe (user)"/>
    <w:uiPriority w:val="99"/>
    <w:qFormat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BodyTextFirstIndent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Comment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user" w:customStyle="1">
    <w:name w:val="Zakotwiczenie przypisu końcowego (user)"/>
    <w:qFormat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1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">
    <w:name w:val="List"/>
    <w:basedOn w:val="Normal"/>
    <w:rsid w:val="009d490c"/>
    <w:pPr>
      <w:spacing w:lineRule="auto" w:line="240" w:before="0" w:after="0"/>
      <w:ind w:hanging="283" w:start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Indeksuser" w:customStyle="1">
    <w:name w:val="Indeks (user)"/>
    <w:basedOn w:val="Normal"/>
    <w:qFormat/>
    <w:pPr>
      <w:suppressLineNumbers/>
    </w:pPr>
    <w:rPr>
      <w:rFonts w:cs="Lucida Sans"/>
    </w:rPr>
  </w:style>
  <w:style w:type="paragraph" w:styleId="Gwkaistopkauser" w:customStyle="1">
    <w:name w:val="Główka i stopka (user)"/>
    <w:basedOn w:val="Normal"/>
    <w:qFormat/>
    <w:pPr/>
    <w:rPr/>
  </w:style>
  <w:style w:type="paragraph" w:styleId="Footer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FootnoteText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EndnoteText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Comment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CommentText"/>
    <w:next w:val="Comment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BodyTextIndent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hanging="180" w:start="54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start="283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start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itle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Subtitle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hanging="720" w:start="108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TOC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TOC2">
    <w:name w:val="toc 2"/>
    <w:basedOn w:val="Normal"/>
    <w:next w:val="Normal"/>
    <w:autoRedefine/>
    <w:uiPriority w:val="39"/>
    <w:rsid w:val="009d490c"/>
    <w:pPr>
      <w:spacing w:lineRule="auto" w:line="240" w:before="0" w:after="0"/>
      <w:ind w:start="24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TOC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start="48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TOC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start="72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5">
    <w:name w:val="toc 5"/>
    <w:basedOn w:val="Normal"/>
    <w:next w:val="Normal"/>
    <w:autoRedefine/>
    <w:uiPriority w:val="39"/>
    <w:rsid w:val="009d490c"/>
    <w:pPr>
      <w:spacing w:lineRule="auto" w:line="240" w:before="0" w:after="0"/>
      <w:ind w:start="96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6">
    <w:name w:val="toc 6"/>
    <w:basedOn w:val="Normal"/>
    <w:next w:val="Normal"/>
    <w:autoRedefine/>
    <w:uiPriority w:val="39"/>
    <w:rsid w:val="009d490c"/>
    <w:pPr>
      <w:spacing w:lineRule="auto" w:line="240" w:before="0" w:after="0"/>
      <w:ind w:start="120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7">
    <w:name w:val="toc 7"/>
    <w:basedOn w:val="Normal"/>
    <w:next w:val="Normal"/>
    <w:autoRedefine/>
    <w:uiPriority w:val="39"/>
    <w:rsid w:val="009d490c"/>
    <w:pPr>
      <w:spacing w:lineRule="auto" w:line="240" w:before="0" w:after="0"/>
      <w:ind w:start="144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8">
    <w:name w:val="toc 8"/>
    <w:basedOn w:val="Normal"/>
    <w:next w:val="Normal"/>
    <w:autoRedefine/>
    <w:uiPriority w:val="39"/>
    <w:rsid w:val="009d490c"/>
    <w:pPr>
      <w:spacing w:lineRule="auto" w:line="240" w:before="0" w:after="0"/>
      <w:ind w:start="168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9">
    <w:name w:val="toc 9"/>
    <w:basedOn w:val="Normal"/>
    <w:next w:val="Normal"/>
    <w:autoRedefine/>
    <w:uiPriority w:val="39"/>
    <w:rsid w:val="009d490c"/>
    <w:pPr>
      <w:spacing w:lineRule="auto" w:line="240" w:before="0" w:after="0"/>
      <w:ind w:start="192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itle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hanging="283" w:start="566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hanging="283" w:start="849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hanging="360" w:start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hanging="360" w:start="64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hanging="360" w:start="926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BodyText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start"/>
    </w:pPr>
    <w:rPr/>
  </w:style>
  <w:style w:type="paragraph" w:styleId="BodyTextFirstIndent2">
    <w:name w:val="Body Text First Indent 2"/>
    <w:basedOn w:val="BodyTextIndent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firstLine="210" w:start="283"/>
      <w:jc w:val="star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user" w:customStyle="1">
    <w:name w:val="Tekst (user)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hanging="284" w:start="426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hanging="295" w:start="851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start="708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star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user" w:customStyle="1">
    <w:name w:val="Zawartość tabeli (user)"/>
    <w:basedOn w:val="Normal"/>
    <w:qFormat/>
    <w:pPr>
      <w:widowControl w:val="false"/>
      <w:suppressLineNumbers/>
    </w:pPr>
    <w:rPr/>
  </w:style>
  <w:style w:type="paragraph" w:styleId="Nagwektabeliuser" w:customStyle="1">
    <w:name w:val="Nagłówek tabeli (user)"/>
    <w:basedOn w:val="Zawartotabeliuser"/>
    <w:qFormat/>
    <w:pPr>
      <w:jc w:val="center"/>
    </w:pPr>
    <w:rPr>
      <w:b/>
      <w:bCs/>
    </w:rPr>
  </w:style>
  <w:style w:type="paragraph" w:styleId="Komentarz">
    <w:name w:val="Komentarz"/>
    <w:basedOn w:val="Normal"/>
    <w:qFormat/>
    <w:pPr>
      <w:spacing w:lineRule="auto" w:line="240" w:before="56" w:after="0"/>
      <w:ind w:hanging="0" w:start="57" w:end="57"/>
    </w:pPr>
    <w:rPr>
      <w:color w:val="auto"/>
      <w:sz w:val="20"/>
      <w:szCs w:val="20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 2013–2022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4E660446-1140-4A14-BBE6-8AB9403AC9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Application>LibreOffice/25.8.4.2$Windows_X86_64 LibreOffice_project/290daaa01b999472f0c7a3890eb6a550fd74c6df</Application>
  <AppVersion>15.0000</AppVersion>
  <Pages>6</Pages>
  <Words>1498</Words>
  <Characters>11083</Characters>
  <CharactersWithSpaces>12391</CharactersWithSpaces>
  <Paragraphs>222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2026-02-17T08:22:00Z</dcterms:created>
  <dc:creator>Igor Kamienski</dc:creator>
  <dc:description/>
  <dc:language>pl-PL</dc:language>
  <cp:lastModifiedBy/>
  <cp:lastPrinted>2023-02-11T13:06:00Z</cp:lastPrinted>
  <dcterms:modified xsi:type="dcterms:W3CDTF">2026-03-11T17:07:30Z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