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066" w:type="dxa"/>
        <w:jc w:val="center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0" w:noVBand="0" w:lastRow="0" w:firstColumn="0" w:lastColumn="0" w:noHBand="0" w:val="0000"/>
      </w:tblPr>
      <w:tblGrid>
        <w:gridCol w:w="1282"/>
        <w:gridCol w:w="131"/>
        <w:gridCol w:w="233"/>
        <w:gridCol w:w="1177"/>
        <w:gridCol w:w="338"/>
        <w:gridCol w:w="1196"/>
        <w:gridCol w:w="111"/>
        <w:gridCol w:w="1634"/>
        <w:gridCol w:w="84"/>
        <w:gridCol w:w="562"/>
        <w:gridCol w:w="50"/>
        <w:gridCol w:w="423"/>
        <w:gridCol w:w="45"/>
        <w:gridCol w:w="495"/>
        <w:gridCol w:w="5"/>
        <w:gridCol w:w="359"/>
        <w:gridCol w:w="32"/>
        <w:gridCol w:w="909"/>
      </w:tblGrid>
      <w:tr>
        <w:trPr>
          <w:trHeight w:val="567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</w:rPr>
              <w:t>nauk społecznych</w:t>
            </w:r>
          </w:p>
        </w:tc>
      </w:tr>
      <w:tr>
        <w:trPr>
          <w:trHeight w:val="652" w:hRule="atLeast"/>
        </w:trPr>
        <w:tc>
          <w:tcPr>
            <w:tcW w:w="6102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  <w:p>
            <w:pPr>
              <w:pStyle w:val="Heading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964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Ćwiczenia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start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Nazwa Wydziału: </w:t>
            </w:r>
          </w:p>
          <w:p>
            <w:pPr>
              <w:pStyle w:val="Heading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hanging="576" w:start="576"/>
              <w:rPr>
                <w:rFonts w:ascii="Times New Roman" w:hAnsi="Times New Roman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Nazwa przedmiotu kształcenia:</w:t>
            </w:r>
            <w:r>
              <w:rPr>
                <w:rFonts w:ascii="Times New Roman" w:hAnsi="Times New Roman"/>
              </w:rPr>
              <w:t xml:space="preserve"> Opiniowanie w sprawach rodzinno-opiekuńczych</w:t>
            </w:r>
          </w:p>
        </w:tc>
      </w:tr>
      <w:tr>
        <w:trPr>
          <w:trHeight w:val="2190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Cele kształcenia</w:t>
              <w:br/>
              <w:t>Wykład:</w:t>
            </w:r>
            <w:r>
              <w:rPr>
                <w:rFonts w:ascii="Times New Roman" w:hAnsi="Times New Roman"/>
              </w:rPr>
              <w:br/>
              <w:t xml:space="preserve">C1 Pogłębienie wiedzy o prawnych i psychologicznych uwarunkowaniach opiniowania w sprawach rodzinno-opiekuńczych. </w:t>
              <w:br/>
              <w:t xml:space="preserve">C2 Pogłębienie wiedzy o metodologii diagnozy psychologicznej dzieci i rodzin na potrzeby postępowania sądowego. </w:t>
              <w:br/>
              <w:t xml:space="preserve">C3 Kształtowanie rozumienia znaczenia opinii psychologicznej w podejmowaniu decyzji przez sąd. </w:t>
              <w:br/>
            </w:r>
            <w:r>
              <w:rPr>
                <w:rFonts w:ascii="Times New Roman" w:hAnsi="Times New Roman"/>
                <w:b/>
                <w:bCs/>
              </w:rPr>
              <w:t>Ćwiczenia:</w:t>
            </w:r>
            <w:r>
              <w:rPr>
                <w:rFonts w:ascii="Times New Roman" w:hAnsi="Times New Roman"/>
              </w:rPr>
              <w:br/>
              <w:t xml:space="preserve">C1 Doskonalenie umiejętności analizy materiału diagnostycznego dotyczącego funkcjonowania dziecka i rodziny. </w:t>
              <w:br/>
              <w:t xml:space="preserve">C2 Doskonalenie umiejętności formułowania wniosków diagnostycznych i zaleceń. </w:t>
              <w:br/>
              <w:t xml:space="preserve">C3 Doskonalenie umiejętności sporządzania opinii psychologicznej zgodnie ze standardami metodologicznymi i etycznymi. 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Przedmiot wprowadzający:</w:t>
            </w:r>
            <w:r>
              <w:rPr>
                <w:rFonts w:ascii="Times New Roman" w:hAnsi="Times New Roman"/>
              </w:rPr>
              <w:t xml:space="preserve"> Psychologia rozwojowa, Diagnoza psychologiczna, Psychologia sądowa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Wymagania wstępne w zakresie wiedzy, umiejętności i kompetencji:</w:t>
            </w:r>
            <w:r>
              <w:rPr>
                <w:rFonts w:ascii="Times New Roman" w:hAnsi="Times New Roman"/>
              </w:rPr>
              <w:br/>
              <w:t>Ws1 Student posiada pogłębioną wiedzę z zakresu psychologii rozwojowej i diagnozy psychologicznej.</w:t>
              <w:br/>
              <w:t>Ws2 Student potrafi analizować funkcjonowanie psychiczne dziecka i rodziny.</w:t>
              <w:br/>
              <w:t>Ws3 Student jest świadomy zasad etyki zawodowej psychologa i odpowiedzialności opiniodawczej.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Metody kształcenia:</w:t>
            </w:r>
            <w:r>
              <w:rPr>
                <w:rFonts w:ascii="Times New Roman" w:hAnsi="Times New Roman"/>
              </w:rPr>
              <w:br/>
              <w:t>Mk1 wykład problemowy z analizą przypadków</w:t>
              <w:br/>
              <w:t>Mk2 analiza dokumentacji diagnostycznej i opinii psychologicznych</w:t>
              <w:br/>
              <w:t>Mk3 symulacje sytuacji opiniodawczych</w:t>
              <w:br/>
              <w:t>Mk4 dyskusja dydaktyczna nad problemami diagnostycznymi</w:t>
              <w:br/>
              <w:t>Mk5 ćwiczenia praktyczne polegające na sporządzaniu opinii</w:t>
              <w:br/>
              <w:t>Mk6 praca indywidualna i zespołowa nad analizą przypadku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Pomoce dydaktyczne: 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Pd1 prezentacje multimedialne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Pd2 opisy przypadków z zakresu spraw rodzinno-opiekuńczych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Pd3 przykładowe opinie sądowo-psychologiczne w sprawach rodzinnych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Pd4 zanonimizowana dokumentacja diagnostyczna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Pd5 akta spraw rodzinnych w wersji dydaktycznej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Pd6 arkusze analizy materiału diagnostycznego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Pd7 karty pracy do opracowania opinii psychologicznej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Pd8 obowiązujące akty prawne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2"/>
              <w:numPr>
                <w:ilvl w:val="0"/>
                <w:numId w:val="0"/>
              </w:numPr>
              <w:spacing w:lineRule="auto" w:line="240" w:before="0" w:after="0"/>
              <w:ind w:hanging="576" w:start="576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Program kształcenia (treści nauczania):</w:t>
            </w:r>
          </w:p>
          <w:p>
            <w:pPr>
              <w:pStyle w:val="Heading2"/>
              <w:numPr>
                <w:ilvl w:val="0"/>
                <w:numId w:val="0"/>
              </w:numPr>
              <w:spacing w:lineRule="auto" w:line="240" w:before="0" w:after="0"/>
              <w:ind w:hanging="576" w:start="576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WYKŁAD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T1 Uwarunkowania prawne opiniowania w sprawach rodzinno-opiekuńczych: rola biegłego psychologa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Uwarunkowania prawne opiniowania psychologicznego w sprawach rodzinnych i opiekuńczych. Status biegłego psychologa, jego prawa, obowiązki oraz odpowiedzialność zawodowa w postępowaniu sądowym.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T2 Cele i zakres opiniowania psychologicznego w sprawach dotyczących dziecka i rodziny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Zakres opiniowania w sprawach dotyczących władzy rodzicielskiej, kontaktów z dzieckiem, opieki oraz dobra dziecka. Znaczenie opinii psychologicznej w ocenie sytuacji rodzinnej.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T3 Metody diagnozy psychologicznej dziecka, rodziców i relacji rodzinnych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Metody badania funkcjonowania psychicznego dziecka i rodziców, w tym wywiad psychologiczny, obserwacja oraz metody testowe. Diagnoza relacji rodzinnych oraz czynników wpływających na rozwój dziecka.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T4 Ocena kompetencji wychowawczych rodziców oraz więzi emocjonalnych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Psychologiczne kryteria oceny kompetencji wychowawczych, zdolności opiekuńczych oraz jakości więzi emocjonalnej między dzieckiem a rodzicami.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T5 Diagnoza sytuacji dziecka w kontekście konfliktu rodzinnego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Psychologiczne skutki konfliktu rodzinnego, rozwodu oraz separacji rodziców. Ocena wpływu konfliktu na funkcjonowanie emocjonalne i społeczne dziecka.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T6 Struktura opinii psychologicznej oraz zasady formułowania wniosków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Elementy opinii psychologicznej, zasady interpretacji wyników badań oraz formułowania wniosków diagnostycznych i rekomendacji dla sądu.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T7 Standardy metodologiczne i etyczne opiniowania psychologicznego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Standardy prowadzenia diagnozy psychologicznej oraz zasady etyki zawodowej psychologa w opiniowaniu sądowym. Odpowiedzialność psychologa za formułowane wnioski.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T8 Znaczenie opinii psychologicznej w podejmowaniu decyzji przez sąd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Rola opinii psychologicznej w postępowaniu sądowym oraz jej znaczenie dla rozstrzygnięć dotyczących dobra dziecka i funkcjonowania rodziny.</w:t>
            </w:r>
          </w:p>
          <w:p>
            <w:pPr>
              <w:pStyle w:val="Heading2"/>
              <w:numPr>
                <w:ilvl w:val="0"/>
                <w:numId w:val="0"/>
              </w:numPr>
              <w:spacing w:lineRule="auto" w:line="240" w:before="0" w:after="0"/>
              <w:ind w:hanging="576" w:start="576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ĆWICZENIA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T1 Analiza dokumentacji diagnostycznej i opinii psychologicznych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Analiza struktury opinii psychologicznych oraz dokumentacji diagnostycznej w sprawach rodzinno-opiekuńczych.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T2 Analiza przypadków spraw rodzinno-opiekuńczych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Identyfikacja problemów psychologicznych dziecka i rodziny w oparciu o opis przypadków oraz dokumentacji sądowej.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T3 Interpretacja wyników badań psychologicznych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Analiza wyników badań psychologicznych dziecka i rodziców oraz ich znaczenia w procesie opiniowania sądowego.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T4 Formułowanie hipotez diagnostycznych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Tworzenie hipotez dotyczących funkcjonowania psychicznego dziecka, relacji rodzinnych oraz kompetencji wychowawczych rodziców.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T5 Sporządzanie opinii psychologicznej w sprawach rodzinno-opiekuńczych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Opracowanie opinii psychologicznej z uwzględnieniem struktury dokumentu, wyników badań oraz zasad opiniowania.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T6 Formułowanie zaleceń psychologicznych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Opracowanie rekomendacji dotyczących wsparcia psychologicznego dziecka oraz działań wspierających funkcjonowanie rodziny.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T7 Krytyczna analiza opinii psychologicznych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Ocena poprawności metodologicznej opinii psychologicznych oraz identyfikacja błędów diagnostycznych i interpretacyjnych.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[WYKŁADY] Literatura podstawowa: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ListParagraph"/>
              <w:widowControl w:val="false"/>
              <w:ind w:start="1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1. Więcek-Durańska A. (2023).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Opiniowanie sądowo-psychologiczne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PWN. Rozdziały: 6.3. Opinia sądowo-psychologiczna w sprawach rodzinnych i opiekuńczych, 6.3.1. Sprawy rodzinne i opiekuńcze – jakie informacje ustala biegły?, Rozdział 7. Standardy opiniowania psychologicznego w sprawach rodzinnych i opiekuńczych, Rozdział 11. Opiniowanie w sprawach rodzinnych i opiekuńczych. </w:t>
            </w:r>
          </w:p>
          <w:p>
            <w:pPr>
              <w:pStyle w:val="ListParagraph"/>
              <w:widowControl w:val="false"/>
              <w:ind w:start="1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2. Rode, D., Kabzińska, J., Dukała, K., Zalewska-Łunkiewicz K. (2020).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Kliniczna psychologia sądowa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Wydawnictwo Naukowe PWN. Rozdziały: 3.3.3. Obszary diagnozowania i diagnozy w sprawach rodzinnych i opiekuńczych, 7. Kliniczna psychologia sądowa w prawie rodzinnym i cywilnym. </w:t>
            </w:r>
          </w:p>
          <w:p>
            <w:pPr>
              <w:pStyle w:val="ListParagraph"/>
              <w:widowControl w:val="false"/>
              <w:ind w:start="136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8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start="1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[ĆWICZENIA] Literatura podstawowa: </w:t>
            </w:r>
          </w:p>
          <w:p>
            <w:pPr>
              <w:pStyle w:val="ListParagraph"/>
              <w:widowControl w:val="false"/>
              <w:ind w:start="1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 Czerederecka, A. (2016). 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Standardy opiniowania psychologicznego w sprawach rodzinnych i opiekuńczych</w:t>
            </w:r>
            <w:r>
              <w:rPr>
                <w:rFonts w:ascii="Times New Roman" w:hAnsi="Times New Roman"/>
                <w:sz w:val="22"/>
                <w:szCs w:val="22"/>
              </w:rPr>
              <w:t>. Kraków: Wydawnictwo Instytutu Ekspertyz Sądowych.</w:t>
            </w:r>
          </w:p>
          <w:p>
            <w:pPr>
              <w:pStyle w:val="ListParagraph"/>
              <w:widowControl w:val="false"/>
              <w:ind w:start="1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 Czerederecka, A. (2020). Opinie w sprawach rodzinnych i opiekuńczych. W: 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Wyzwania psychologa jako biegłego w relacji z wymiarem sprawiedliwości</w:t>
            </w:r>
            <w:r>
              <w:rPr>
                <w:rFonts w:ascii="Times New Roman" w:hAnsi="Times New Roman"/>
                <w:sz w:val="22"/>
                <w:szCs w:val="22"/>
              </w:rPr>
              <w:t> (s. 155-181).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Literatura uzupełniająca: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Borkowska, A.R, Cierpiałkowska, L., Grzegorzewska, I. (2020). </w:t>
            </w:r>
            <w:r>
              <w:rPr>
                <w:rFonts w:ascii="Times New Roman" w:hAnsi="Times New Roman"/>
                <w:i/>
              </w:rPr>
              <w:t>Psychologia kliniczna dzieci i młodzieży</w:t>
            </w:r>
            <w:r>
              <w:rPr>
                <w:rFonts w:ascii="Times New Roman" w:hAnsi="Times New Roman"/>
              </w:rPr>
              <w:t>. Wydawnictwo PWN. Część V. SPECJALNE OBSZARY ZAINTERESOWANIA PSYCHOLOGII KLINICZNEJ DZIECI I MŁODZIEŻY.</w:t>
            </w:r>
          </w:p>
        </w:tc>
      </w:tr>
      <w:tr>
        <w:trPr>
          <w:trHeight w:val="1701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Sposoby weryfikacji efektów uczenia się:</w:t>
              <w:br/>
            </w:r>
            <w:r>
              <w:rPr>
                <w:rFonts w:ascii="Times New Roman" w:hAnsi="Times New Roman"/>
                <w:b/>
                <w:bCs/>
              </w:rPr>
              <w:t>Wykład</w:t>
            </w:r>
            <w:r>
              <w:rPr>
                <w:rFonts w:ascii="Times New Roman" w:hAnsi="Times New Roman"/>
              </w:rPr>
              <w:br/>
              <w:t>F1 aktywność i analiza przypadków</w:t>
              <w:br/>
              <w:t>P1 egzamin ustny problemowy</w:t>
              <w:br/>
            </w:r>
            <w:r>
              <w:rPr>
                <w:rFonts w:ascii="Times New Roman" w:hAnsi="Times New Roman"/>
                <w:b/>
                <w:bCs/>
              </w:rPr>
              <w:t>Ćwiczenia</w:t>
            </w:r>
            <w:r>
              <w:rPr>
                <w:rFonts w:ascii="Times New Roman" w:hAnsi="Times New Roman"/>
              </w:rPr>
              <w:br/>
              <w:t>F1 analiza przypadków i dokumentacji</w:t>
              <w:br/>
              <w:t>P1 sporządzenie opinii psychologicznej</w:t>
            </w:r>
          </w:p>
        </w:tc>
      </w:tr>
      <w:tr>
        <w:trPr>
          <w:trHeight w:val="446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Kryteria zaliczenia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562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Kryteria uzyskania ocen potwierdzających osiągnięcie efektów uczenia się:</w:t>
            </w:r>
          </w:p>
        </w:tc>
      </w:tr>
      <w:tr>
        <w:trPr>
          <w:trHeight w:val="1701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2"/>
              <w:numPr>
                <w:ilvl w:val="0"/>
                <w:numId w:val="0"/>
              </w:numPr>
              <w:spacing w:lineRule="auto" w:line="240" w:before="0" w:after="0"/>
              <w:ind w:hanging="576" w:start="576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Wykład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Kryteria oceny:</w:t>
            </w:r>
          </w:p>
          <w:p>
            <w:pPr>
              <w:pStyle w:val="NormalWeb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Ocena formująca (F1) obejmuje stopień zaangażowania studenta w analizę przypadków, poprawność interpretacji omawianych zagadnień oraz umiejętność stosowania właściwej terminologii psychologicznej i prawnej.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Ocena podsumowująca (P1) z egzaminu ustnego uwzględnia w szczególności:</w:t>
            </w:r>
          </w:p>
          <w:p>
            <w:pPr>
              <w:pStyle w:val="NormalWeb"/>
              <w:numPr>
                <w:ilvl w:val="0"/>
                <w:numId w:val="2"/>
              </w:numPr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zakres i poprawność wiedzy dotyczącej omawianych zagadnień,</w:t>
            </w:r>
          </w:p>
          <w:p>
            <w:pPr>
              <w:pStyle w:val="NormalWeb"/>
              <w:numPr>
                <w:ilvl w:val="0"/>
                <w:numId w:val="2"/>
              </w:numPr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umiejętność analizy problemu oraz interpretacji sytuacji wymagającej opinii psychologicznej,</w:t>
            </w:r>
          </w:p>
          <w:p>
            <w:pPr>
              <w:pStyle w:val="NormalWeb"/>
              <w:numPr>
                <w:ilvl w:val="0"/>
                <w:numId w:val="2"/>
              </w:numPr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zdolność logicznego formułowania wniosków,</w:t>
            </w:r>
          </w:p>
          <w:p>
            <w:pPr>
              <w:pStyle w:val="NormalWeb"/>
              <w:numPr>
                <w:ilvl w:val="0"/>
                <w:numId w:val="2"/>
              </w:numPr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stosowanie właściwej terminologii specjalistycznej,</w:t>
            </w:r>
          </w:p>
          <w:p>
            <w:pPr>
              <w:pStyle w:val="NormalWeb"/>
              <w:numPr>
                <w:ilvl w:val="0"/>
                <w:numId w:val="2"/>
              </w:numPr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spójność i samodzielność wypowiedzi.</w:t>
            </w:r>
          </w:p>
          <w:p>
            <w:pPr>
              <w:pStyle w:val="Heading2"/>
              <w:numPr>
                <w:ilvl w:val="0"/>
                <w:numId w:val="0"/>
              </w:numPr>
              <w:spacing w:lineRule="auto" w:line="240" w:before="0" w:after="0"/>
              <w:ind w:hanging="576" w:start="576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Ćwiczenia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Kryteria oceny:</w:t>
            </w:r>
          </w:p>
          <w:p>
            <w:pPr>
              <w:pStyle w:val="NormalWeb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Ocena formująca (F1) obejmuje poprawność analizy materiału diagnostycznego, umiejętność identyfikacji istotnych problemów psychologicznych oraz aktywny udział w zajęciach.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Ocena podsumowująca (P1) obejmuje jakość sporządzonej opinii psychologicznej, w szczególności:</w:t>
            </w:r>
          </w:p>
          <w:p>
            <w:pPr>
              <w:pStyle w:val="NormalWeb"/>
              <w:numPr>
                <w:ilvl w:val="0"/>
                <w:numId w:val="3"/>
              </w:numPr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poprawność metodologiczną i merytoryczną analizy,</w:t>
            </w:r>
          </w:p>
          <w:p>
            <w:pPr>
              <w:pStyle w:val="NormalWeb"/>
              <w:numPr>
                <w:ilvl w:val="0"/>
                <w:numId w:val="3"/>
              </w:numPr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trafność i uzasadnienie sformułowanych wniosków,</w:t>
            </w:r>
          </w:p>
          <w:p>
            <w:pPr>
              <w:pStyle w:val="NormalWeb"/>
              <w:numPr>
                <w:ilvl w:val="0"/>
                <w:numId w:val="3"/>
              </w:numPr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poprawność struktury opinii psychologicznej,</w:t>
            </w:r>
          </w:p>
          <w:p>
            <w:pPr>
              <w:pStyle w:val="NormalWeb"/>
              <w:numPr>
                <w:ilvl w:val="0"/>
                <w:numId w:val="3"/>
              </w:numPr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stosowanie właściwej terminologii psychologicznej,</w:t>
            </w:r>
          </w:p>
          <w:p>
            <w:pPr>
              <w:pStyle w:val="NormalWeb"/>
              <w:numPr>
                <w:ilvl w:val="0"/>
                <w:numId w:val="3"/>
              </w:numPr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zgodność z zasadami etyki zawodowej psychologa.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Ocena końcowa jest ustalana w oparciu o stopień osiągnięcia efektów uczenia się, zgodnie z obowiązującą skalą ocen.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8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PS_W03</w:t>
            </w:r>
          </w:p>
        </w:tc>
        <w:tc>
          <w:tcPr>
            <w:tcW w:w="5808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</w:t>
            </w: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</w:rPr>
              <w:t xml:space="preserve">a pogłębioną i zintegrowaną wiedzę o metodach diagnozy psychologicznej stosowanych w opiniowaniu sądowym, w szczególności w sprawach rodzinno-opiekuńczych oraz o zasadach ich stosowania w praktyce opiniodawczej. </w:t>
            </w:r>
          </w:p>
        </w:tc>
        <w:tc>
          <w:tcPr>
            <w:tcW w:w="184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PS_W03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PS_W03</w:t>
            </w:r>
          </w:p>
        </w:tc>
        <w:tc>
          <w:tcPr>
            <w:tcW w:w="17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K_W15</w:t>
            </w:r>
          </w:p>
        </w:tc>
        <w:tc>
          <w:tcPr>
            <w:tcW w:w="1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 – C3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 – T8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 – Mk2</w:t>
            </w:r>
          </w:p>
        </w:tc>
        <w:tc>
          <w:tcPr>
            <w:tcW w:w="94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F1 P1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4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PS_U01</w:t>
            </w:r>
          </w:p>
        </w:tc>
        <w:tc>
          <w:tcPr>
            <w:tcW w:w="5984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potrafi przeprowadzić diagnozę psychologiczną na potrzeby opiniowania sądowego z wykorzystaniem właściwych metod i narzędzi, uwzględniając kontekst prawny oraz sytuacyjny osoby badanej. 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PS_U02</w:t>
            </w:r>
          </w:p>
        </w:tc>
        <w:tc>
          <w:tcPr>
            <w:tcW w:w="5984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</w:t>
            </w:r>
            <w:r>
              <w:rPr>
                <w:rFonts w:ascii="Times New Roman" w:hAnsi="Times New Roman"/>
              </w:rPr>
              <w:t>f</w:t>
            </w:r>
            <w:r>
              <w:rPr>
                <w:rFonts w:ascii="Times New Roman" w:hAnsi="Times New Roman"/>
              </w:rPr>
              <w:t xml:space="preserve">ormułuje opinie psychologiczne w sprawach rodzinno-opiekuńczych zgodnie z obowiązującymi standardami opiniowania oraz zasadami rzetelności metodologicznej. 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PS_K01</w:t>
            </w:r>
          </w:p>
        </w:tc>
        <w:tc>
          <w:tcPr>
            <w:tcW w:w="5984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jest gotów do przestrzegania zasad etyki zawodowej psychologa w pracy diagnostycznej i opiniodawczej na potrzeby wymiaru sprawiedliwości, z uwzględnieniem odpowiedzialności społecznej i prawnej tej roli. 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K_K01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Umiejętności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PS_U01 </w:t>
            </w:r>
          </w:p>
        </w:tc>
        <w:tc>
          <w:tcPr>
            <w:tcW w:w="154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 – T4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Mk3 – Mk6</w:t>
            </w:r>
          </w:p>
        </w:tc>
        <w:tc>
          <w:tcPr>
            <w:tcW w:w="9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 F2 P1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PS_U02</w:t>
            </w:r>
          </w:p>
        </w:tc>
        <w:tc>
          <w:tcPr>
            <w:tcW w:w="154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C2  C3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T5- T6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Mk3 – Mk6</w:t>
            </w:r>
          </w:p>
        </w:tc>
        <w:tc>
          <w:tcPr>
            <w:tcW w:w="9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 F2 P1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Kompetencje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PS_K01</w:t>
            </w:r>
          </w:p>
        </w:tc>
        <w:tc>
          <w:tcPr>
            <w:tcW w:w="154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K_K01 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 – C3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 – T6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Mk3 – Mk6</w:t>
            </w:r>
          </w:p>
        </w:tc>
        <w:tc>
          <w:tcPr>
            <w:tcW w:w="9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 F2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>Forma zajęć</w:t>
            </w:r>
          </w:p>
        </w:tc>
        <w:tc>
          <w:tcPr>
            <w:tcW w:w="2822" w:type="dxa"/>
            <w:gridSpan w:val="4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>Forma aktywności studenta</w:t>
            </w:r>
          </w:p>
        </w:tc>
        <w:tc>
          <w:tcPr>
            <w:tcW w:w="3293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5" w:type="dxa"/>
            <w:gridSpan w:val="4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 xml:space="preserve">ECTS 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8" w:type="dxa"/>
            <w:gridSpan w:val="2"/>
            <w:tcBorders>
              <w:star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75" w:type="dxa"/>
            <w:gridSpan w:val="5"/>
            <w:tcBorders>
              <w:star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305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268" w:hRule="atLeast"/>
        </w:trPr>
        <w:tc>
          <w:tcPr>
            <w:tcW w:w="16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4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 xml:space="preserve"> </w:t>
            </w:r>
            <w:r>
              <w:rPr>
                <w:rFonts w:eastAsia="Times New Roman" w:ascii="Times New Roman" w:hAnsi="Times New Roman"/>
                <w:color w:themeColor="text1" w:val="000000"/>
              </w:rPr>
              <w:t>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 xml:space="preserve">10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val="2268" w:hRule="atLeast"/>
        </w:trPr>
        <w:tc>
          <w:tcPr>
            <w:tcW w:w="16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Ćwiczenia</w:t>
            </w:r>
          </w:p>
        </w:tc>
        <w:tc>
          <w:tcPr>
            <w:tcW w:w="2822" w:type="dxa"/>
            <w:gridSpan w:val="4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 xml:space="preserve"> </w:t>
            </w:r>
            <w:r>
              <w:rPr>
                <w:rFonts w:eastAsia="Times New Roman" w:ascii="Times New Roman" w:hAnsi="Times New Roman"/>
                <w:color w:themeColor="text1" w:val="000000"/>
              </w:rPr>
              <w:t>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 xml:space="preserve"> </w:t>
            </w:r>
            <w:r>
              <w:rPr>
                <w:rFonts w:eastAsia="Times New Roman" w:ascii="Times New Roman" w:hAnsi="Times New Roman"/>
                <w:color w:themeColor="text1" w:val="000000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Czytanie wskazanej literatury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300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Rozwiązywanie zadań i problemów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 xml:space="preserve"> 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Przygotowanie projektu/prezentacji/referatu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Przygotowanie sprawozdania z wykonanych ćwiczeń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Przygotowanie się do zaliczenia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 </w:t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Przygotowanie się do egzaminu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Inne (jakie?)………..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598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100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598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4</w:t>
            </w:r>
          </w:p>
        </w:tc>
      </w:tr>
    </w:tbl>
    <w:p>
      <w:pPr>
        <w:pStyle w:val="ListParagraph"/>
        <w:ind w:start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start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start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317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Verdana">
    <w:charset w:val="ee" w:characterSet="windows-1250"/>
    <w:family w:val="swiss"/>
    <w:pitch w:val="variable"/>
  </w:font>
  <w:font w:name="Courier New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EUAlbertina"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1276"/>
      <w:rPr/>
    </w:pPr>
    <w:r>
      <w:rPr/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3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1276"/>
      <w:rPr/>
    </w:pPr>
    <w:r>
      <w:rPr/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5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19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19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2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pStyle w:val="Heading2"/>
      <w:lvlText w:val="%1%2"/>
      <w:lvlJc w:val="start"/>
      <w:pPr>
        <w:tabs>
          <w:tab w:val="num" w:pos="576"/>
        </w:tabs>
        <w:ind w:star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decimal"/>
      <w:pStyle w:val="Heading6"/>
      <w:lvlText w:val="%1%2.%3%4%5%6"/>
      <w:lvlJc w:val="start"/>
      <w:pPr>
        <w:tabs>
          <w:tab w:val="num" w:pos="1152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Heading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start="54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Heading2">
    <w:name w:val="heading 2"/>
    <w:basedOn w:val="Normal"/>
    <w:next w:val="Normal"/>
    <w:link w:val="Nagwek2Znak"/>
    <w:uiPriority w:val="9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Heading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Heading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Heading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Heading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Heading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Heading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Heading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uiPriority w:val="9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user" w:customStyle="1">
    <w:name w:val="Zakotwiczenie przypisu dolnego (user)"/>
    <w:qFormat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CommentText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annotationsubject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BalloonText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BodyText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BodyTextIndent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BodyTextIndent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BodyText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PlainTex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user" w:customStyle="1">
    <w:name w:val="Odwiedzone łącze internetowe (user)"/>
    <w:qFormat/>
    <w:rsid w:val="009d490c"/>
    <w:rPr>
      <w:color w:val="800080"/>
      <w:u w:val="single"/>
    </w:rPr>
  </w:style>
  <w:style w:type="character" w:styleId="NagwekZnak" w:customStyle="1">
    <w:name w:val="Nagłówek Zna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user" w:customStyle="1">
    <w:name w:val="Łącze internetowe (user)"/>
    <w:uiPriority w:val="99"/>
    <w:qFormat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BodyTextFirstIndent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Comment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user" w:customStyle="1">
    <w:name w:val="Zakotwiczenie przypisu końcowego (user)"/>
    <w:qFormat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1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">
    <w:name w:val="List"/>
    <w:basedOn w:val="Normal"/>
    <w:rsid w:val="009d490c"/>
    <w:pPr>
      <w:spacing w:lineRule="auto" w:line="240" w:before="0" w:after="0"/>
      <w:ind w:hanging="283" w:start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Footer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FootnoteText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EndnoteText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Comment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CommentText"/>
    <w:next w:val="Comment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BodyTextIndent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hanging="180" w:start="54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start="283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start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itle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Subtitle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hanging="720" w:start="108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TOC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TOC2">
    <w:name w:val="toc 2"/>
    <w:basedOn w:val="Normal"/>
    <w:next w:val="Normal"/>
    <w:autoRedefine/>
    <w:uiPriority w:val="39"/>
    <w:rsid w:val="009d490c"/>
    <w:pPr>
      <w:spacing w:lineRule="auto" w:line="240" w:before="0" w:after="0"/>
      <w:ind w:start="24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TOC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start="48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TOC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start="72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5">
    <w:name w:val="toc 5"/>
    <w:basedOn w:val="Normal"/>
    <w:next w:val="Normal"/>
    <w:autoRedefine/>
    <w:uiPriority w:val="39"/>
    <w:rsid w:val="009d490c"/>
    <w:pPr>
      <w:spacing w:lineRule="auto" w:line="240" w:before="0" w:after="0"/>
      <w:ind w:start="96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6">
    <w:name w:val="toc 6"/>
    <w:basedOn w:val="Normal"/>
    <w:next w:val="Normal"/>
    <w:autoRedefine/>
    <w:uiPriority w:val="39"/>
    <w:rsid w:val="009d490c"/>
    <w:pPr>
      <w:spacing w:lineRule="auto" w:line="240" w:before="0" w:after="0"/>
      <w:ind w:start="120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7">
    <w:name w:val="toc 7"/>
    <w:basedOn w:val="Normal"/>
    <w:next w:val="Normal"/>
    <w:autoRedefine/>
    <w:uiPriority w:val="39"/>
    <w:rsid w:val="009d490c"/>
    <w:pPr>
      <w:spacing w:lineRule="auto" w:line="240" w:before="0" w:after="0"/>
      <w:ind w:start="144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8">
    <w:name w:val="toc 8"/>
    <w:basedOn w:val="Normal"/>
    <w:next w:val="Normal"/>
    <w:autoRedefine/>
    <w:uiPriority w:val="39"/>
    <w:rsid w:val="009d490c"/>
    <w:pPr>
      <w:spacing w:lineRule="auto" w:line="240" w:before="0" w:after="0"/>
      <w:ind w:start="168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9">
    <w:name w:val="toc 9"/>
    <w:basedOn w:val="Normal"/>
    <w:next w:val="Normal"/>
    <w:autoRedefine/>
    <w:uiPriority w:val="39"/>
    <w:rsid w:val="009d490c"/>
    <w:pPr>
      <w:spacing w:lineRule="auto" w:line="240" w:before="0" w:after="0"/>
      <w:ind w:start="192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itle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hanging="283" w:start="566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hanging="283" w:start="849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hanging="360" w:start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hanging="360" w:start="64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hanging="360" w:start="926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BodyText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start"/>
    </w:pPr>
    <w:rPr/>
  </w:style>
  <w:style w:type="paragraph" w:styleId="BodyTextFirstIndent2">
    <w:name w:val="Body Text First Indent 2"/>
    <w:basedOn w:val="BodyTextIndent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firstLine="210" w:start="283"/>
      <w:jc w:val="star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user" w:customStyle="1">
    <w:name w:val="Tekst (user)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hanging="284" w:start="426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hanging="295" w:start="851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start="708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star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user" w:customStyle="1">
    <w:name w:val="Zawartość tabeli (user)"/>
    <w:basedOn w:val="Normal"/>
    <w:qFormat/>
    <w:pPr>
      <w:widowControl w:val="false"/>
      <w:suppressLineNumbers/>
    </w:pPr>
    <w:rPr/>
  </w:style>
  <w:style w:type="paragraph" w:styleId="Nagwektabeliuser" w:customStyle="1">
    <w:name w:val="Nagłówek tabeli (user)"/>
    <w:basedOn w:val="Zawartotabeliuser"/>
    <w:qFormat/>
    <w:pPr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 2013–2022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B2C9A7FA-46C5-4739-AEDA-AF08EBCE29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Application>LibreOffice/25.8.4.2$Windows_X86_64 LibreOffice_project/290daaa01b999472f0c7a3890eb6a550fd74c6df</Application>
  <AppVersion>15.0000</AppVersion>
  <Pages>6</Pages>
  <Words>1276</Words>
  <Characters>9490</Characters>
  <CharactersWithSpaces>10625</CharactersWithSpaces>
  <Paragraphs>174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2026-02-16T20:02:00Z</dcterms:created>
  <dc:creator>Igor Kamienski</dc:creator>
  <dc:description/>
  <dc:language>pl-PL</dc:language>
  <cp:lastModifiedBy/>
  <cp:lastPrinted>2023-02-11T13:06:00Z</cp:lastPrinted>
  <dcterms:modified xsi:type="dcterms:W3CDTF">2026-03-11T16:59:20Z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