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26"/>
        <w:gridCol w:w="105"/>
        <w:gridCol w:w="233"/>
        <w:gridCol w:w="334"/>
        <w:gridCol w:w="843"/>
        <w:gridCol w:w="9"/>
        <w:gridCol w:w="329"/>
        <w:gridCol w:w="944"/>
        <w:gridCol w:w="252"/>
        <w:gridCol w:w="11"/>
        <w:gridCol w:w="100"/>
        <w:gridCol w:w="1718"/>
        <w:gridCol w:w="562"/>
        <w:gridCol w:w="50"/>
        <w:gridCol w:w="6"/>
        <w:gridCol w:w="417"/>
        <w:gridCol w:w="45"/>
        <w:gridCol w:w="495"/>
        <w:gridCol w:w="5"/>
        <w:gridCol w:w="359"/>
        <w:gridCol w:w="32"/>
        <w:gridCol w:w="3"/>
        <w:gridCol w:w="905"/>
      </w:tblGrid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  <w:u w:val="none" w:color="FF0000"/>
              </w:rPr>
              <w:t>Profilowanie psychologiczne nieznanych sprawców przestępstw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psychologicznych uwarunkowaniach profilowania sprawców przestępstw oraz współczesnych modelach profilowania.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metodach profilowania psychologicznego, w szczególności analizie miejsca zdarzenia, śladów behawioralnych oraz wzorców zachowania sprawcy.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rozumienia możliwości, ograniczeń oraz etycznych uwarunkowań stosowania profilowania psychologicznego w praktyce sądowej. </w:t>
            </w:r>
          </w:p>
          <w:p>
            <w:pPr>
              <w:pStyle w:val="Tretekstu"/>
              <w:widowControl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agwek1"/>
              <w:widowControl w:val="false"/>
              <w:spacing w:before="0" w:after="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Ćwiczenia:</w:t>
            </w:r>
          </w:p>
          <w:p>
            <w:pPr>
              <w:pStyle w:val="Nagwek1"/>
              <w:widowControl w:val="false"/>
              <w:spacing w:before="0" w:after="0"/>
              <w:ind w:left="0" w:hanging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sz w:val="22"/>
                <w:szCs w:val="22"/>
              </w:rPr>
              <w:t xml:space="preserve">C1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analizy materiału kryminalistycznego oraz identyfikowania psychologicznych wskaźników zachowania sprawcy. </w:t>
            </w:r>
          </w:p>
          <w:p>
            <w:pPr>
              <w:pStyle w:val="Nagwek1"/>
              <w:widowControl w:val="false"/>
              <w:spacing w:before="0" w:after="0"/>
              <w:ind w:left="0" w:hanging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sz w:val="22"/>
                <w:szCs w:val="22"/>
              </w:rPr>
              <w:t xml:space="preserve">C2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umiejętności formułowania hipotez profilowych oraz integrowania danych w celu opracowania profilu psychologicznego sprawcy. </w:t>
            </w:r>
          </w:p>
          <w:p>
            <w:pPr>
              <w:pStyle w:val="Nagwek1"/>
              <w:widowControl w:val="false"/>
              <w:spacing w:before="0" w:after="0"/>
              <w:ind w:left="0" w:hanging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sz w:val="22"/>
                <w:szCs w:val="22"/>
              </w:rPr>
              <w:t xml:space="preserve">C3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Doskonalenie zdolności krytycznej oceny wniosków profilowych oraz odpowiedzialnego i etycznego wykorzystania profilowania w praktyce psychologicznej i sądowej.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Psychologia sądowa 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Tretekstu"/>
              <w:widowControl w:val="false"/>
              <w:spacing w:before="0" w:after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Ws1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Pogłębiona wiedza z zakresu psychologii sądowej i społecznej, w szczególności dotycząca mechanizmów zachowania sprawców przestępstw oraz psychologicznych uwarunkowań zachowań przestępczych.</w:t>
            </w:r>
          </w:p>
          <w:p>
            <w:pPr>
              <w:pStyle w:val="Tretekstu"/>
              <w:widowControl w:val="false"/>
              <w:spacing w:before="0" w:after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Ws2 –U</w:t>
            </w:r>
            <w:r>
              <w:rPr>
                <w:rFonts w:ascii="Times New Roman" w:hAnsi="Times New Roman"/>
                <w:sz w:val="22"/>
                <w:szCs w:val="22"/>
              </w:rPr>
              <w:t>miejętność analizy zachowania człowieka w kontekście sytuacji naruszenia norm prawnych, interpretowania danych jakościowych oraz pracy z opisem przypadku i materiałem źródłowym o charakterze kryminalistycznym lub sądowym.</w:t>
            </w:r>
          </w:p>
          <w:p>
            <w:pPr>
              <w:pStyle w:val="Tretekstu"/>
              <w:widowControl w:val="false"/>
              <w:spacing w:before="0" w:after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Ws3 – G</w:t>
            </w:r>
            <w:r>
              <w:rPr>
                <w:rFonts w:ascii="Times New Roman" w:hAnsi="Times New Roman"/>
                <w:sz w:val="22"/>
                <w:szCs w:val="22"/>
              </w:rPr>
              <w:t>otowość do odpowiedzialnego i etycznego podejścia do analizy materiału dotyczącego przestępstw.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materiałów źródłowych dotyczących zachowań sprawców przestępstw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ćwiczenia praktyczne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shd w:fill="FFFF00" w:val="clear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analiza studiów przypadków nieznanych sprawców przestępstw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dydaktyczna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materiały dydaktyczne przygotowane przez prowadzącego </w:t>
              <w:tab/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opisy przypadków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arkusze ćwiczeniowe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kształcenia (treści nauczania):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sz w:val="22"/>
                <w:szCs w:val="22"/>
                <w:lang w:eastAsia="pl-PL"/>
              </w:rPr>
              <w:t xml:space="preserve"> Wprowadzenie do psychologii sądowej i kryminalistycznej – omówienie obszarów zastosowań psychologii w wymiarze sprawiedliwości, roli psychologa sądowego oraz znaczenia profilowania jako narzędzia pracy operacyjnej i analitycznej wspierającej proces wykrywczy.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T2 </w:t>
            </w:r>
            <w:r>
              <w:rPr>
                <w:rFonts w:ascii="Times New Roman" w:hAnsi="Times New Roman"/>
                <w:sz w:val="22"/>
                <w:szCs w:val="22"/>
              </w:rPr>
              <w:t>Teoretyczne koncepcje profilowania psychologicznego – przedstawienie definicji profilu sprawcy, omówienie modeli profilowania obejmujących analizę danych, klasyfikację, rekonstrukcję przebiegu zdarzenia, motywację oraz charakterystykę sprawcy, a także wskazanie źródeł informacji wykorzystywanych w analizie.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T3 </w:t>
            </w:r>
            <w:r>
              <w:rPr>
                <w:rFonts w:ascii="Times New Roman" w:hAnsi="Times New Roman"/>
                <w:sz w:val="22"/>
                <w:szCs w:val="22"/>
              </w:rPr>
              <w:t>Wiktymologia w profilowaniu – ukazanie znaczenia danych biograficznych, psychologicznych, społecznych, seksualnych i medycznych dotyczących ofiary, analiza ostatniego okresu jej życia oraz omówienie sposobów doboru ofiar przez sprawców przestępstw.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T4 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Analiza miejsca i czasu zdarzenia – omówienie znaczenia lokalizacji zdarzenia, rodzajów pozostawionych śladów i narzędzi, charakteru destrukcji oraz sposobów interpretowania czasu zdarzenia w kontekście zachowania sprawcy.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>. Klasyfikacja zabójstw i analiza zachowań sprawcy – przedstawienie typologii zabójstw, w tym pojedynczych, seryjnych, wielokrotnych, omówienie ryzyka sprawcy i ryzyka ofiary, etapów zdarzenia oraz dynamiki eskalacji przemocy i zachowań seksualnych.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Motywacja sprawców zabójstw – omówienie motywacji wiodących, takich jak ekonomiczna, emocjonalna, seksualna czy urojeniowa, oraz motywacji współwystępujących, takich jak dominacja, lęk, poczucie krzywdy czy zazdrość, z uwzględnieniem tła emocjonalnego i psychopatologii.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T7 </w:t>
            </w:r>
            <w:r>
              <w:rPr>
                <w:rFonts w:ascii="Times New Roman" w:hAnsi="Times New Roman"/>
                <w:sz w:val="22"/>
                <w:szCs w:val="22"/>
              </w:rPr>
              <w:t>Tworzenie charakterystyki sprawcy – przedstawienie sposobu formowania danych demograficznych i osobowościowych sprawcy, w tym cech intelektualnych, emocjonalnych i psychofizycznych, omówienie pojęć sygnatury, personalizacji, trofeum i inscenizacji oraz roli profilu jako dokumentu o charakterze operacyjnym.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T1 </w:t>
            </w:r>
            <w:r>
              <w:rPr>
                <w:rFonts w:eastAsia="Arial Unicode MS" w:ascii="Times New Roman" w:hAnsi="Times New Roman"/>
                <w:color w:val="000000"/>
                <w:sz w:val="22"/>
                <w:szCs w:val="22"/>
                <w:lang w:eastAsia="pl-PL"/>
              </w:rPr>
              <w:t>Analiza przypadku – warunki pracy profilera – praca na aktach fikcyjnego zdarzenia, identyfikacja danych niezbędnych do podjęcia procesu profilowania oraz formułowanie pierwszych hipotez analitycznych.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T2 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Analiza wiktymologiczna – studium przypadku – tworzenie szczegółowej charakterystyki ofiary, ocena ryzyka wiktymologicznego oraz interpretacja jej cech i wyborów w kontekście zachowania sprawcy.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T3 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Rekonstrukcja miejsca zdarzenia – samodzielne sporządzenie opisu miejsca zdarzenia, analiza pozostawionych śladów, narzędzi oraz sposobu działania sprawcy w oparciu o  dostępny materiał.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T4 </w:t>
            </w:r>
            <w:r>
              <w:rPr>
                <w:rFonts w:ascii="Times New Roman" w:hAnsi="Times New Roman"/>
                <w:sz w:val="22"/>
                <w:szCs w:val="22"/>
              </w:rPr>
              <w:t>Klasyfikacja zabójstw i opracowanie typologii – określanie typu zabójstwa w wybranych przypadkach, analiza przebiegu zdarzenia oraz identyfikacja kluczowych etapów działania sprawcy.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Analiza motywacji sprawcy – praca z opisami przypadków, ustalanie motywacji wiodącej i motywacji ubocznej, a także ocena wpływu czynników psychologicznych i sytuacyjnych na działanie sprawcy.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T6 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Opracowanie elementów sygnatury i modus operandi – rozróżnianie modus operandi i sygnatury sprawcy, identyfikacja zachowań osobistych oraz określanie ich znaczenia dla tworzenia profilu.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T7</w:t>
            </w: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 Opracowanie pełnego profilu sprawcy – przygotowanie profilu sprawcy w oparciu o materiał, a następnie prezentacja i obrona przyjętych założeń analitycznych.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Cur, Urszula (2021).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Profilowanie psychologiczne nieznanych sprawców przestępstw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Paradygmat i studium przypadku.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Warszawa: Wydawnictwo Naukowe Scholar.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Hołyst, B. (2011).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Wiktymologia. </w:t>
            </w:r>
            <w:r>
              <w:rPr>
                <w:rFonts w:ascii="Times New Roman" w:hAnsi="Times New Roman"/>
                <w:sz w:val="22"/>
                <w:szCs w:val="22"/>
              </w:rPr>
              <w:t>LexisNexis.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Rozdziały: 1. Pojęcie i rodzaje wiktymologii, 3. Czynniki kształtujące potencjał wiktymogenny i podatność wiktymizacyjną, 4. Operacjonalizacja pojęcia osoby wiktymnej.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Stanik, J.M. (2013).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Psychologia sądowa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Naukowe PWN. Część 2. Socjologiczne i psychologiczne koncepcje przestępczości. </w:t>
            </w:r>
          </w:p>
          <w:p>
            <w:pPr>
              <w:pStyle w:val="NoSpacing"/>
              <w:widowControl w:val="false"/>
              <w:ind w:left="72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Więcek-Durańska A. (2023). Opiniowanie sądowo-psychologiczne. PWN. Rozdział: Rozdział 22. Profilowanie nieznanych sprawców przestępstw.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Hołyst, B. (2011).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Wiktymologia. </w:t>
            </w:r>
            <w:r>
              <w:rPr>
                <w:rFonts w:ascii="Times New Roman" w:hAnsi="Times New Roman"/>
                <w:sz w:val="22"/>
                <w:szCs w:val="22"/>
              </w:rPr>
              <w:t>LexisNexis.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Rozdziały: Część II (całość), część III 36. Ogólne zagadnienia wiktymizacji kryminalnej.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Szaszkiewicz, M., Mazurek, M. (2025).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W głowie zabójcy. Pierwszy polski profiler kryminalny na tropie najgłośniejszych zbrodni</w:t>
            </w:r>
            <w:r>
              <w:rPr>
                <w:rFonts w:ascii="Times New Roman" w:hAnsi="Times New Roman"/>
                <w:sz w:val="22"/>
                <w:szCs w:val="22"/>
              </w:rPr>
              <w:t>. Wydawnictwo Wielka Litera.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aktywność studenta w trakcie dyskusji dydaktycznej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aktywności podczas zajęć</w:t>
            </w:r>
            <w:r>
              <w:rPr>
                <w:rFonts w:ascii="Times New Roman" w:hAnsi="Times New Roman"/>
                <w:bCs/>
                <w:sz w:val="22"/>
                <w:szCs w:val="22"/>
                <w:shd w:fill="FFFF00" w:val="clear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wykonania zadań praktycznych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opracowanie profilu psychologicznego (projekt zaliczeniowy)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przystąpienia do egzaminu jest zaliczenie ćwiczeń.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Egzamin odbędzie się stacjonarnie, test jednokrotnego wyboru.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bardzo dobra (5,0) – 90–100%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posiada pogłębioną i uporządkowaną wiedzę z zakresu profilowania psychologicznego, poprawnie rozpoznaje pojęcia i modele teoretyczne oraz trafnie identyfikuje właściwe rozwiązania problemów diagnostycznych.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dobra plus (4,5) – 80–89%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posiada bardzo dobrą wiedzę z zakresu profilowania psychologicznego, poprawnie interpretuje większość zagadnień i popełnia jedynie nieliczne błędy.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dobra (4,0) – 70–79%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posiada dobrą znajomość omawianych zagadnień, rozumie większość pojęć i modeli teoretycznych, jednak popełnia zauważalne błędy.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dostateczna plus (3,5) – 60–69%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posiada zadowalającą znajomość zagadnień profilowania psychologicznego, rozpoznaje wybrane pojęcia i modele, jednak popełnia liczne błędy.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dostateczna (3,0) – 50–59%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wykazuje ograniczoną znajomość zagadnień profilowania psychologicznego i rozpoznaje jedynie część omawianych pojęć i modeli.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Ocena niedostateczna (2,0) – poniżej 50% poprawnych odpowiedzi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jc w:val="both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nie wykazuje znajomości kluczowych zagadnień profilowania psychologicznego i nie osiągnął wymaganych efektów uczenia się.</w:t>
            </w:r>
          </w:p>
        </w:tc>
      </w:tr>
      <w:tr>
        <w:trPr>
          <w:trHeight w:val="1701" w:hRule="atLeast"/>
        </w:trPr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zaliczenia ćwiczeń jest aktywny udział w zajęciach, obejmujący analizę zanonimizowanych opinii sądowo-psychologicznych, pracę na studiach przypadków oraz wykonywanie powierzonych zadań praktycznych. Wymagana jest obecność na co najmniej 80% zajęć ćwiczeniowych.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Zaliczenie ćwiczeń następuje na podstawie pozytywnej oceny wykonania zadań praktycznych, w szczególności opracowania analizy przypadku w obszarze spraw cywilnych, przygotowanej z uwzględnieniem zasad etyki zawodowej psychologa, poprawnego formułowania problemów psychologicznych na podstawie pytań sądu, doboru metod i narzędzi diagnostycznych oraz zasad formułowania wniosków psychologicznych i odpowiedzi na pytania organu sprawiedliwości.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Ćwiczenia kończą się zaliczeniem bez oceny (zaliczone / niezaliczone). Nieuzyskanie zaliczenia ćwiczeń uniemożliwia przystąpienie do egzaminu końcowego z wykładu.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PS_W01</w:t>
            </w:r>
          </w:p>
        </w:tc>
        <w:tc>
          <w:tcPr>
            <w:tcW w:w="58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zna w pogłębionym stopniu psychologiczne mechanizmy zachowania człowieka w kontekście norm prawnych, w tym uwarunkowania zachowań przestępczych oraz funkcjonowania ofiar i świadków.</w:t>
            </w:r>
          </w:p>
        </w:tc>
        <w:tc>
          <w:tcPr>
            <w:tcW w:w="18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PS_W05</w:t>
            </w:r>
          </w:p>
        </w:tc>
        <w:tc>
          <w:tcPr>
            <w:tcW w:w="58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ma pogłębioną wiedzę o psychologicznych charakterystykach sprawców przestępstw oraz o mechanizmach ich funkcjonowania, z uwzględnieniem motywacji, wzorców działania i uwarunkowań przestępczości. </w:t>
            </w:r>
          </w:p>
        </w:tc>
        <w:tc>
          <w:tcPr>
            <w:tcW w:w="18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PS_W01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Mk2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F2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PS_W05</w:t>
            </w:r>
          </w:p>
        </w:tc>
        <w:tc>
          <w:tcPr>
            <w:tcW w:w="1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T6-T7</w:t>
            </w:r>
          </w:p>
        </w:tc>
        <w:tc>
          <w:tcPr>
            <w:tcW w:w="13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PS_U04, </w:t>
            </w:r>
          </w:p>
        </w:tc>
        <w:tc>
          <w:tcPr>
            <w:tcW w:w="598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analizuje zachowania sprawców przestępstw oraz formułuje hipotezy dotyczące ich cech psychologicznych, motywacji i sposobu działania, uwzględniając wieloczynnikowe uwarunkowania ich funkcjonowania. </w:t>
            </w:r>
          </w:p>
        </w:tc>
        <w:tc>
          <w:tcPr>
            <w:tcW w:w="1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PS_U05</w:t>
            </w:r>
          </w:p>
        </w:tc>
        <w:tc>
          <w:tcPr>
            <w:tcW w:w="598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Absolwent dokonuje analizy przypadku, integruje dane diagnostyczne oraz formułuje wnioski wykorzystywane w procesie sporządzania profilu psychologicznego sprawcy. </w:t>
            </w:r>
          </w:p>
        </w:tc>
        <w:tc>
          <w:tcPr>
            <w:tcW w:w="1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PS_K02</w:t>
            </w:r>
          </w:p>
        </w:tc>
        <w:tc>
          <w:tcPr>
            <w:tcW w:w="598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odpowiedzialnego pełnienia roli biegłego psychologa oraz formułowania opinii w oparciu o rzetelną analizę danych diagnostycznych, z uwzględnieniem złożoności sytuacji procesowej i konsekwencji wydawanych opinii. </w:t>
            </w:r>
          </w:p>
        </w:tc>
        <w:tc>
          <w:tcPr>
            <w:tcW w:w="1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3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PS_W01 </w:t>
            </w:r>
          </w:p>
        </w:tc>
        <w:tc>
          <w:tcPr>
            <w:tcW w:w="15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K_W11 </w:t>
            </w:r>
          </w:p>
        </w:tc>
        <w:tc>
          <w:tcPr>
            <w:tcW w:w="153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 </w:t>
            </w:r>
          </w:p>
        </w:tc>
        <w:tc>
          <w:tcPr>
            <w:tcW w:w="243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T1-T5 </w:t>
            </w:r>
          </w:p>
        </w:tc>
        <w:tc>
          <w:tcPr>
            <w:tcW w:w="1356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 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13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PS_W05 </w:t>
            </w:r>
          </w:p>
        </w:tc>
        <w:tc>
          <w:tcPr>
            <w:tcW w:w="15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K_W11 </w:t>
            </w:r>
          </w:p>
        </w:tc>
        <w:tc>
          <w:tcPr>
            <w:tcW w:w="153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 </w:t>
            </w:r>
          </w:p>
        </w:tc>
        <w:tc>
          <w:tcPr>
            <w:tcW w:w="243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T6-T7 </w:t>
            </w:r>
          </w:p>
        </w:tc>
        <w:tc>
          <w:tcPr>
            <w:tcW w:w="1356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 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PS_U04, </w:t>
            </w:r>
          </w:p>
        </w:tc>
        <w:tc>
          <w:tcPr>
            <w:tcW w:w="1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 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T1-T6 </w:t>
            </w:r>
          </w:p>
        </w:tc>
        <w:tc>
          <w:tcPr>
            <w:tcW w:w="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Mk3, Mk4, Mk5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PS_U05</w:t>
            </w:r>
          </w:p>
        </w:tc>
        <w:tc>
          <w:tcPr>
            <w:tcW w:w="1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T1-T7 </w:t>
            </w:r>
          </w:p>
        </w:tc>
        <w:tc>
          <w:tcPr>
            <w:tcW w:w="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Mk3, Mk4, Mk5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PS_K02</w:t>
            </w:r>
          </w:p>
        </w:tc>
        <w:tc>
          <w:tcPr>
            <w:tcW w:w="1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T1-T7 </w:t>
            </w:r>
          </w:p>
        </w:tc>
        <w:tc>
          <w:tcPr>
            <w:tcW w:w="13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Mk3, Mk4, Mk5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979" w:hRule="atLeast"/>
        </w:trPr>
        <w:tc>
          <w:tcPr>
            <w:tcW w:w="1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554" w:hRule="atLeast"/>
        </w:trPr>
        <w:tc>
          <w:tcPr>
            <w:tcW w:w="1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8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2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Arial Unicode MS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Arial Unicode MS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>
    <w:name w:val="Łącze internetowe"/>
    <w:basedOn w:val="DefaultParagraphFont"/>
    <w:uiPriority w:val="99"/>
    <w:semiHidden/>
    <w:unhideWhenUsed/>
    <w:rsid w:val="00a7384e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cb354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1B6F705C-ED43-4C0F-B9FC-EB45D75245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LibreOffice/7.1.1.2$Windows_X86_64 LibreOffice_project/fe0b08f4af1bacafe4c7ecc87ce55bb426164676</Application>
  <AppVersion>15.0000</AppVersion>
  <Pages>6</Pages>
  <Words>1457</Words>
  <Characters>10829</Characters>
  <CharactersWithSpaces>12151</CharactersWithSpaces>
  <Paragraphs>218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2026-02-17T08:22:00Z</dcterms:created>
  <dc:creator>Igor Kamienski</dc:creator>
  <dc:description/>
  <dc:language>pl-PL</dc:language>
  <cp:lastModifiedBy/>
  <cp:lastPrinted>2023-02-11T13:06:00Z</cp:lastPrinted>
  <dcterms:modified xsi:type="dcterms:W3CDTF">2026-03-12T00:51:53Z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