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1177"/>
        <w:gridCol w:w="338"/>
        <w:gridCol w:w="1196"/>
        <w:gridCol w:w="111"/>
        <w:gridCol w:w="1634"/>
        <w:gridCol w:w="84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</w:rPr>
              <w:t>nauk społecznych</w:t>
            </w:r>
          </w:p>
        </w:tc>
      </w:tr>
      <w:tr>
        <w:trPr>
          <w:trHeight w:val="652" w:hRule="atLeast"/>
        </w:trPr>
        <w:tc>
          <w:tcPr>
            <w:tcW w:w="6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29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Nazwa przedmiotu kształcenia: Zaburzenia osobowości i preferencji seksualnych sprawców przestępstw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Cele kształcenia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C1</w:t>
            </w:r>
            <w:r>
              <w:rPr>
                <w:rFonts w:ascii="Times New Roman" w:hAnsi="Times New Roman"/>
              </w:rPr>
              <w:t xml:space="preserve"> Pogłębienie wiedzy dotyczącej zaburzeń osobowości i zaburzeń preferencji seksualnych w ujęciu klinicznym i sądowym. </w:t>
              <w:br/>
            </w:r>
            <w:r>
              <w:rPr>
                <w:rFonts w:ascii="Times New Roman" w:hAnsi="Times New Roman"/>
                <w:b/>
                <w:bCs/>
              </w:rPr>
              <w:t>C2</w:t>
            </w:r>
            <w:r>
              <w:rPr>
                <w:rFonts w:ascii="Times New Roman" w:hAnsi="Times New Roman"/>
              </w:rPr>
              <w:t xml:space="preserve"> Pogłębienie wiedzy o mechanizmach rozwoju zaburzeń osobowości i preferencji seksualnych oraz ich związku z zachowaniami przestępczymi. </w:t>
              <w:br/>
            </w:r>
            <w:r>
              <w:rPr>
                <w:rFonts w:ascii="Times New Roman" w:hAnsi="Times New Roman"/>
                <w:b/>
                <w:bCs/>
              </w:rPr>
              <w:t>C3</w:t>
            </w:r>
            <w:r>
              <w:rPr>
                <w:rFonts w:ascii="Times New Roman" w:hAnsi="Times New Roman"/>
              </w:rPr>
              <w:t xml:space="preserve"> Kształtowanie rozumienia mechanizmów funkcjonowania psychicznego sprawców przestępstw seksualnych.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Ćwiczenia: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C1</w:t>
            </w:r>
            <w:r>
              <w:rPr>
                <w:rFonts w:ascii="Times New Roman" w:hAnsi="Times New Roman"/>
              </w:rPr>
              <w:t xml:space="preserve"> Doskonalenie umiejętności analizy przypadków klinicznych osób z zaburzeniami osobowości i preferencji seksualnych. </w:t>
              <w:br/>
            </w:r>
            <w:r>
              <w:rPr>
                <w:rFonts w:ascii="Times New Roman" w:hAnsi="Times New Roman"/>
                <w:b/>
                <w:bCs/>
              </w:rPr>
              <w:t>C2</w:t>
            </w:r>
            <w:r>
              <w:rPr>
                <w:rFonts w:ascii="Times New Roman" w:hAnsi="Times New Roman"/>
              </w:rPr>
              <w:t xml:space="preserve"> Doskonalenie umiejętności konceptualizacji przypadku i formułowania wniosków diagnostycznych. </w:t>
              <w:br/>
            </w:r>
            <w:r>
              <w:rPr>
                <w:rFonts w:ascii="Times New Roman" w:hAnsi="Times New Roman"/>
                <w:b/>
                <w:bCs/>
              </w:rPr>
              <w:t>C3</w:t>
            </w:r>
            <w:r>
              <w:rPr>
                <w:rFonts w:ascii="Times New Roman" w:hAnsi="Times New Roman"/>
              </w:rPr>
              <w:t xml:space="preserve"> Doskonalenie kompetencji w zakresie krytycznej analizy przypadków oraz odpowiedzialnego i etycznego podejmowania decyzji diagnostycznych.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Przedmiot wprowadzający:</w:t>
            </w:r>
            <w:r>
              <w:rPr>
                <w:rFonts w:ascii="Times New Roman" w:hAnsi="Times New Roman"/>
              </w:rPr>
              <w:t xml:space="preserve"> Psychologia kliniczna, Psychologia sądowa, Psychologia kliniczna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Wymagania wstępne w zakresie wiedzy, umiejętności i kompetencji:</w:t>
            </w:r>
            <w:r>
              <w:rPr>
                <w:rFonts w:ascii="Times New Roman" w:hAnsi="Times New Roman"/>
              </w:rPr>
              <w:br/>
              <w:t>Ws1 Student posiada wiedzę z zakresu psychopatologii oraz funkcjonowania osobowości.</w:t>
              <w:br/>
              <w:t>Ws2 Student potrafi analizować zachowanie człowieka oraz interpretować dane diagnostyczne.</w:t>
              <w:br/>
              <w:t>Ws3 Student rozumie znaczenie zasad etyki zawodowej psychologa.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Metody kształcenia:</w:t>
            </w:r>
            <w:r>
              <w:rPr>
                <w:rFonts w:ascii="Times New Roman" w:hAnsi="Times New Roman"/>
              </w:rPr>
              <w:br/>
              <w:t>Mk1 wykład problemowy z wykorzystaniem prezentacji multimedialnych</w:t>
              <w:br/>
              <w:t>Mk2 analiza literatury naukowej</w:t>
              <w:br/>
              <w:t>Mk3 analiza przypadków klinicznych</w:t>
              <w:br/>
              <w:t>Mk4 dyskusja dydaktyczna</w:t>
              <w:br/>
              <w:t>Mk5 ćwiczenia praktyczne polegające na analizie materiału klinicznego</w:t>
              <w:br/>
              <w:t>Mk6 praca indywidualna i zespołowa nad konceptualizacją przypadku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Pd1 prezentacje multimedialne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Pd2 teksty naukowe i artykuły specjalistyczne z zakresu psychologii klinicznej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Pd3 opisy przypadków klinicznych 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Pd4 zanonimizowana dokumentacja kliniczna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Pd5 przykładowe opinie psychologiczne i opisy diagnozy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Pd6 arkusze analizy przypadku klinicznego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Pd7 karty pracy do konceptualizacji przypadku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Pd8 schematy i modele konceptualizacji przypadku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Program kształcenia (treści nauczania):</w:t>
              <w:br/>
              <w:t>Wykłady: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1.Rozumienie zaburzeń osobowości w psychologii i medycynie.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Pojęcie osobowości i jej rozwoju w ciągu życia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Osobowość normalna i zaburzona w klasyfikacjach medycznych i psychologicznych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Związki między psychopatologią a psychologią osobowości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Klasyfikacje medyczne ICD i DSM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Paradygmaty wyjaśniające kształtowanie się zaburzeń osobowości: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paradygmat poznawczo- behawioralny,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teoria relacji z obiektem,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modele integracyjne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Omówienie poszczególnych kategorii zaburzeń osobowości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Wiązka A: Schizoidalne, schioztypowe i paranoiczne zaburzenia osobowości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Wiązka B: Antyspołeczne, narcystyczne, histrioniczne i borderline zaburzenia osobowości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Wiązka C: unikające, zależne, obsesyjno-kompulsyjne zaburzenia osobowości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2.Zaburzenia seksualne a zaburzenia osobowości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Seksualność i zaburzenia seksualne człowieka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współwystępowanie zaburzeń osobowości, preferencji seksualnych a przestępstwa seksualne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Przestępstwa seksualne w ujęciu prawnym i psychologicznym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kodeksowe ujęcie przestępstw seksualnych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psychologiczne ujęcie przestępczości seksualnej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Ćwiczenia: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1.Praktyczne wykorzystanie wiedzy o zaburzeniach osobowości w kontekście omawianych opisów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omówienie przykładowych opinii psychologicznych dotyczących pacjentów z zaburzeniami osobowości i dyskusja nad treściami omawianymi w trakcie wykładu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powiązanie przedstawianych opisów przypadków pacjentów z kryteriami diagnostycznymi oraz metodami diagnostycznymi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analiza problemów funkcjonowania seksualnego pacjentów z zaburzeniami osobowości z funkcjonowaniem z obszarze interpersonalnym w tym tworzonymi relacjami seksualnymi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analiza przedstawianych przypadków w kontekście teorii wyjaśniających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2.Praktyczne wykorzystanie wiedzy o zaburzeniach funkcjonowania seksualnego w kontekście omawianych opisów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omówienie przykładowych opinii psychologicznych dotyczących pacjentów z zaburzeniami preferencji seksualnych i dyskusja nad treściami omawianymi w trakcie wykładu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powiązanie przedstawianych opisów przypadków pacjentów z kryteriami diagnostycznymi oraz metodami diagnostycznymi, w tym analizą kryteriów zaburzeń preferencji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analiza problemów funkcjonowania seksualnego pacjentów,  w tym kontekście kształtowania się wzorców seksualności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analiza przedstawianych przypadków w kontekście teorii wyjaśniających i opisujących naruszanie norm prawnych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Literatura podstawowa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ind w:left="354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 xml:space="preserve">Cierpiałkowska, L., Soroko, E. (2014). </w:t>
            </w:r>
            <w:r>
              <w:rPr>
                <w:rFonts w:eastAsia="Book Antiqua" w:ascii="Times New Roman" w:hAnsi="Times New Roman"/>
                <w:i/>
                <w:color w:val="000000"/>
                <w:sz w:val="22"/>
                <w:szCs w:val="22"/>
              </w:rPr>
              <w:t>Zaburzenia osobowości</w:t>
            </w: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>. Poznań, Wydawnictwo Naukowe Poznań 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ind w:left="354" w:hanging="360"/>
              <w:jc w:val="both"/>
              <w:rPr>
                <w:rFonts w:ascii="Times New Roman" w:hAnsi="Times New Roman" w:eastAsia="Book Antiqua"/>
                <w:color w:val="000000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 xml:space="preserve">Depko, A., Krasowska, A. (2021). </w:t>
            </w:r>
            <w:r>
              <w:rPr>
                <w:rFonts w:eastAsia="Book Antiqua" w:ascii="Times New Roman" w:hAnsi="Times New Roman"/>
                <w:i/>
                <w:color w:val="000000"/>
                <w:sz w:val="22"/>
                <w:szCs w:val="22"/>
              </w:rPr>
              <w:t>Seksuologia</w:t>
            </w: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>, T.1, Warszawa, PWN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ind w:left="354" w:hanging="3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Pastwa-Wojciechowska, B. (2013). Psychopaci: Sprawcy przestępstw seksualnych. Harmonia Universalis.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b/>
                <w:bCs/>
              </w:rPr>
            </w:pPr>
            <w:r>
              <w:rPr>
                <w:rFonts w:eastAsia="Times New Roman" w:ascii="Times New Roman" w:hAnsi="Times New Roman"/>
                <w:b/>
                <w:bCs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left="354" w:hanging="357"/>
              <w:rPr>
                <w:rFonts w:ascii="Times New Roman" w:hAnsi="Times New Roman" w:eastAsia="Book Antiqua"/>
                <w:color w:val="000000"/>
              </w:rPr>
            </w:pPr>
            <w:r>
              <w:rPr>
                <w:rFonts w:eastAsia="Book Antiqua" w:ascii="Times New Roman" w:hAnsi="Times New Roman"/>
                <w:color w:val="000000"/>
              </w:rPr>
              <w:t xml:space="preserve">Bancroft, J. (2012). Przestępstwa seksualne. W: </w:t>
            </w:r>
            <w:r>
              <w:rPr>
                <w:rFonts w:eastAsia="Book Antiqua" w:ascii="Times New Roman" w:hAnsi="Times New Roman"/>
                <w:i/>
                <w:color w:val="000000"/>
              </w:rPr>
              <w:t>Seksualność człowieka</w:t>
            </w:r>
            <w:r>
              <w:rPr>
                <w:rFonts w:eastAsia="Book Antiqua" w:ascii="Times New Roman" w:hAnsi="Times New Roman"/>
                <w:color w:val="000000"/>
              </w:rPr>
              <w:t xml:space="preserve"> (R. 16; s.484 -533). Wrocław, Elsevier Urban &amp; Partner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false"/>
              <w:spacing w:lineRule="auto" w:line="240" w:before="0" w:after="0"/>
              <w:ind w:left="354" w:hanging="357"/>
              <w:rPr>
                <w:rFonts w:ascii="Times New Roman" w:hAnsi="Times New Roman" w:eastAsia="Book Antiqua"/>
                <w:color w:val="000000"/>
              </w:rPr>
            </w:pPr>
            <w:r>
              <w:rPr>
                <w:rFonts w:eastAsia="Book Antiqua" w:ascii="Times New Roman" w:hAnsi="Times New Roman"/>
                <w:color w:val="000000"/>
              </w:rPr>
              <w:t xml:space="preserve">Rawińska, M. (2024). </w:t>
            </w:r>
            <w:r>
              <w:rPr>
                <w:rFonts w:eastAsia="Book Antiqua" w:ascii="Times New Roman" w:hAnsi="Times New Roman"/>
                <w:i/>
                <w:color w:val="000000"/>
              </w:rPr>
              <w:t>Zaburzenia seksualne a terapia poznawczo-behawioralna</w:t>
            </w:r>
            <w:r>
              <w:rPr>
                <w:rFonts w:eastAsia="Book Antiqua" w:ascii="Times New Roman" w:hAnsi="Times New Roman"/>
                <w:color w:val="000000"/>
              </w:rPr>
              <w:t>. Rozdział dotyczący: Terapia schematów jako poznawczo-behawioralna praca z zaburzeniami osobowości a dysfunkcje seksualne. Warszawa, PWN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hd w:val="clear" w:color="auto" w:fill="FFFFFF"/>
              <w:ind w:left="354" w:hanging="357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 xml:space="preserve">Cierpiałkowska, L., Turbaczewska-Brakoniecka, I., Groth, J. (2017). </w:t>
            </w:r>
            <w:r>
              <w:rPr>
                <w:rFonts w:eastAsia="Book Antiqua" w:ascii="Times New Roman" w:hAnsi="Times New Roman"/>
                <w:i/>
                <w:color w:val="000000"/>
                <w:sz w:val="22"/>
                <w:szCs w:val="22"/>
              </w:rPr>
              <w:t>Seksualność i problemy seksualne z perspektywy psychodynamicznej</w:t>
            </w: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>. Rozdział 16 Podejście psychodynamiczne w praktyce sądowo-penitencjarnej. Warszawa, PWN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hd w:val="clear" w:color="auto" w:fill="FFFFFF"/>
              <w:ind w:left="354" w:hanging="357"/>
              <w:jc w:val="both"/>
              <w:rPr>
                <w:rFonts w:ascii="Times New Roman" w:hAnsi="Times New Roman" w:eastAsia="Arial Unicode MS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Pastwa-Wojciechowska, B. (2004). Naruszanie norm prawnych w psychopatii: Analiza kryminologiczno-psychologiczna. Wydawnictwo Uniwersytetu Gdańskiego.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Sposoby weryfikacji efektów uczenia się (f – formujący, p – podsumowujący):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bCs/>
              </w:rPr>
              <w:t>Wykład</w:t>
            </w:r>
            <w:r>
              <w:rPr>
                <w:rFonts w:ascii="Times New Roman" w:hAnsi="Times New Roman"/>
              </w:rPr>
              <w:br/>
              <w:t>F1 aktywność podczas zajęć</w:t>
              <w:br/>
              <w:t>P1 egzamin pisemny</w:t>
              <w:br/>
            </w:r>
            <w:r>
              <w:rPr>
                <w:rFonts w:ascii="Times New Roman" w:hAnsi="Times New Roman"/>
                <w:b/>
                <w:bCs/>
              </w:rPr>
              <w:t>Ćwiczenia</w:t>
            </w:r>
            <w:r>
              <w:rPr>
                <w:rFonts w:ascii="Times New Roman" w:hAnsi="Times New Roman"/>
              </w:rPr>
              <w:br/>
              <w:t>F1 aktywność podczas zajęć</w:t>
              <w:br/>
              <w:t>F2 analiza przypadków</w:t>
              <w:br/>
              <w:t>P1 projekt – analiza przypadku</w:t>
            </w:r>
          </w:p>
        </w:tc>
      </w:tr>
      <w:tr>
        <w:trPr>
          <w:trHeight w:val="624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Kryteria zaliczenia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62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Warunek dopuszczenia do egzaminu: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zaliczenie ćwiczeń.</w:t>
              <w:br/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Forma egzaminu: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pisemne opracowanie przypadku diagnozy osobowości z uwzględnieniem zaburzeń osobowości i preferencji seksualnych.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  <w:u w:val="single"/>
              </w:rPr>
              <w:t>Kryteria oceny (maks. 18 pkt):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zastosowanie fachowych pojęć z zakresu teorii osobowości i zaburzeń osobowości – 5 pkt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zastosowanie fachowych pojęć z zakresu teorii seksualności i zaburzeń preferencji seksualnych – 5 pkt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poprawne cytowanie literatury – 2 pkt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zachowanie właściwej struktury opinii psychologicznej – 2 pkt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uwzględnienie diagnozy różnicowej – 2 pkt</w:t>
            </w:r>
          </w:p>
          <w:p>
            <w:pPr>
              <w:pStyle w:val="NormalWeb"/>
              <w:widowControl w:val="false"/>
              <w:numPr>
                <w:ilvl w:val="0"/>
                <w:numId w:val="3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sformułowanie adekwatnych zaleceń terapeutycznych – 2 pkt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Skala ocen: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17–18 pkt – bardzo dobry (5,0)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15–16 pkt – dobry plus (4,5)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13–14 pkt – dobry (4,0)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11–12 pkt – dostateczny plus (3,5)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 pkt – dostateczny (3,0)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uppressAutoHyphens w:val="false"/>
              <w:spacing w:beforeAutospacing="0" w:before="28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poniżej 10 pkt – niedostateczny (2,0)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Ćwiczenia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-Regularna obecność w laboratoriach psychologicznych (min. 80%)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-Aktywność podczas zajęć, w tym udział w dyskusjach, scenkach symulacyjnych, analizie przypadków oraz innych ćwiczeniach praktycznych.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-Terminowe rozliczanie się z zadań określanych w harmonogramie przez prowadzącego.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-Zadanie:  sformułowanie opinii psychologicznej dotyczącej zależności pomiędzy konkretnym typem zaburzeń osobowości a zaburzeniami preferencji seksualnych na podstawie dostarczonych informacji w opisie przygotowanych przypadków.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Kryteria zaliczenia: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 Przeprowadzenie analizy przypadku w tym zaprojektowanie przeglądu literatury, badania psychologicznego (proces diagnostyczny) i oddziaływań terapeutycznych: wykazanie umiejętności właściwego dobierania i posługiwania się literaturą przedmiotu, umiejętność projektowania działań terapeutycznych.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-Sformułowanie opinii psychologicznej w kontekście zaprojektowanego działania związanego z przedstawionym problemem osoby badanej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2"/>
                <w:szCs w:val="22"/>
              </w:rPr>
              <w:t>-Kolokwium: opis jednego z losowo wybranych typów zaburzeń osobowości z uwzględnieniem etiologii, symptomów i metod terapeutycznych.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58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ma pogłębioną wiedzę o zaburzeniach osobowości i zaburzeniach preferencji seksualnych oraz o ich znaczeniu w kontekście przestępczości seksualnej. 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PS_W03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T8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 –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PS_U04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analizuje przypadki osób z zaburzeniami osobowości i preferencji seksualnych oraz formułuje hipotezy dotyczące mechanizmów ich funkcjonowania psychicznego i znaczenia tych mechanizmów dla zachowań naruszających normy prawne.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K_U17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59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 w pracy diagnostycznej i opiniodawczej na potrzeby wymiaru sprawiedliwości, z uwzględnieniem odpowiedzialności społecznej i prawnej tej roli. 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PS_U04  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K_U17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C1, C2 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T1-T6 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Mk3, Mk4, Mk5, Mk6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F1, F2,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PS_K01</w:t>
            </w:r>
          </w:p>
        </w:tc>
        <w:tc>
          <w:tcPr>
            <w:tcW w:w="1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K_K01 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 – T6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 – Mk6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 F2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zajęć</w:t>
            </w:r>
          </w:p>
        </w:tc>
        <w:tc>
          <w:tcPr>
            <w:tcW w:w="28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04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1110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2" w:type="dxa"/>
            <w:gridSpan w:val="4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color w:val="000000" w:themeColor="text1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/>
                <w:bCs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1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76ED5E58-BA4C-45FC-93C2-0864814056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LibreOffice/7.1.1.2$Windows_X86_64 LibreOffice_project/fe0b08f4af1bacafe4c7ecc87ce55bb426164676</Application>
  <AppVersion>15.0000</AppVersion>
  <Pages>5</Pages>
  <Words>1242</Words>
  <Characters>9066</Characters>
  <CharactersWithSpaces>10164</CharactersWithSpaces>
  <Paragraphs>183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2026-03-12T00:36:23Z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