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3DB" w:rsidRPr="005D13DB" w:rsidRDefault="005D13DB" w:rsidP="005D13DB">
      <w:pPr>
        <w:spacing w:after="24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Ogłoszenie nr 562126-N-2019 z dnia 2019-06-17 r. </w:t>
      </w:r>
    </w:p>
    <w:p w:rsidR="005D13DB" w:rsidRDefault="005D13DB" w:rsidP="005D13DB">
      <w:pPr>
        <w:spacing w:after="0" w:line="240" w:lineRule="auto"/>
        <w:jc w:val="center"/>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Biblioteka Publiczna Miasta i Gminy Jarocin: „WYPOSAŻENIE NOWEJ SIEDZIBY BIBLIOTEKI W KAMIENICY PRZY UL. RYNEK 17 W JAROCINIE, dz. nr 1678”</w:t>
      </w:r>
      <w:r w:rsidRPr="005D13DB">
        <w:rPr>
          <w:rFonts w:ascii="Times New Roman" w:eastAsia="Times New Roman" w:hAnsi="Times New Roman" w:cs="Times New Roman"/>
          <w:sz w:val="24"/>
          <w:szCs w:val="24"/>
          <w:lang w:eastAsia="pl-PL"/>
        </w:rPr>
        <w:br/>
        <w:t xml:space="preserve">OGŁOSZENIE O ZAMÓWIENIU - Usługi </w:t>
      </w:r>
    </w:p>
    <w:p w:rsidR="005D13DB" w:rsidRPr="005D13DB" w:rsidRDefault="005D13DB" w:rsidP="005D13DB">
      <w:pPr>
        <w:spacing w:after="0" w:line="240" w:lineRule="auto"/>
        <w:jc w:val="center"/>
        <w:rPr>
          <w:rFonts w:ascii="Times New Roman" w:eastAsia="Times New Roman" w:hAnsi="Times New Roman" w:cs="Times New Roman"/>
          <w:sz w:val="24"/>
          <w:szCs w:val="24"/>
          <w:lang w:eastAsia="pl-PL"/>
        </w:rPr>
      </w:pPr>
      <w:bookmarkStart w:id="0" w:name="_GoBack"/>
      <w:bookmarkEnd w:id="0"/>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Zamieszczanie ogłoszenia:</w:t>
      </w:r>
      <w:r w:rsidRPr="005D13DB">
        <w:rPr>
          <w:rFonts w:ascii="Times New Roman" w:eastAsia="Times New Roman" w:hAnsi="Times New Roman" w:cs="Times New Roman"/>
          <w:sz w:val="24"/>
          <w:szCs w:val="24"/>
          <w:lang w:eastAsia="pl-PL"/>
        </w:rPr>
        <w:t xml:space="preserve"> Zamieszczanie obowiązkowe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Ogłoszenie dotyczy:</w:t>
      </w:r>
      <w:r w:rsidRPr="005D13DB">
        <w:rPr>
          <w:rFonts w:ascii="Times New Roman" w:eastAsia="Times New Roman" w:hAnsi="Times New Roman" w:cs="Times New Roman"/>
          <w:sz w:val="24"/>
          <w:szCs w:val="24"/>
          <w:lang w:eastAsia="pl-PL"/>
        </w:rPr>
        <w:t xml:space="preserve"> Zamówienia publicznego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Nie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Nazwa projektu lub programu</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Nie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5D13DB">
        <w:rPr>
          <w:rFonts w:ascii="Times New Roman" w:eastAsia="Times New Roman" w:hAnsi="Times New Roman" w:cs="Times New Roman"/>
          <w:sz w:val="24"/>
          <w:szCs w:val="24"/>
          <w:lang w:eastAsia="pl-PL"/>
        </w:rPr>
        <w:t>Pzp</w:t>
      </w:r>
      <w:proofErr w:type="spellEnd"/>
      <w:r w:rsidRPr="005D13DB">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5D13DB">
        <w:rPr>
          <w:rFonts w:ascii="Times New Roman" w:eastAsia="Times New Roman" w:hAnsi="Times New Roman" w:cs="Times New Roman"/>
          <w:sz w:val="24"/>
          <w:szCs w:val="24"/>
          <w:lang w:eastAsia="pl-PL"/>
        </w:rPr>
        <w:br/>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u w:val="single"/>
          <w:lang w:eastAsia="pl-PL"/>
        </w:rPr>
        <w:t>SEKCJA I: ZAMAWIAJĄCY</w:t>
      </w:r>
      <w:r w:rsidRPr="005D13DB">
        <w:rPr>
          <w:rFonts w:ascii="Times New Roman" w:eastAsia="Times New Roman" w:hAnsi="Times New Roman" w:cs="Times New Roman"/>
          <w:sz w:val="24"/>
          <w:szCs w:val="24"/>
          <w:lang w:eastAsia="pl-PL"/>
        </w:rPr>
        <w:t xml:space="preserv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 xml:space="preserve">Postępowanie przeprowadza centralny zamawiający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Tak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Nie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Informacje na temat podmiotu któremu zamawiający powierzył/powierzyli prowadzenie postępowania:</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Postępowanie jest przeprowadzane wspólnie przez zamawiających</w:t>
      </w:r>
      <w:r w:rsidRPr="005D13DB">
        <w:rPr>
          <w:rFonts w:ascii="Times New Roman" w:eastAsia="Times New Roman" w:hAnsi="Times New Roman" w:cs="Times New Roman"/>
          <w:sz w:val="24"/>
          <w:szCs w:val="24"/>
          <w:lang w:eastAsia="pl-PL"/>
        </w:rPr>
        <w:t xml:space="preserv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Nie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Nie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Informacje dodatkowe:</w:t>
      </w:r>
      <w:r w:rsidRPr="005D13DB">
        <w:rPr>
          <w:rFonts w:ascii="Times New Roman" w:eastAsia="Times New Roman" w:hAnsi="Times New Roman" w:cs="Times New Roman"/>
          <w:sz w:val="24"/>
          <w:szCs w:val="24"/>
          <w:lang w:eastAsia="pl-PL"/>
        </w:rPr>
        <w:t xml:space="preserv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 xml:space="preserve">I. 1) NAZWA I ADRES: </w:t>
      </w:r>
      <w:r w:rsidRPr="005D13DB">
        <w:rPr>
          <w:rFonts w:ascii="Times New Roman" w:eastAsia="Times New Roman" w:hAnsi="Times New Roman" w:cs="Times New Roman"/>
          <w:sz w:val="24"/>
          <w:szCs w:val="24"/>
          <w:lang w:eastAsia="pl-PL"/>
        </w:rPr>
        <w:t xml:space="preserve">Biblioteka Publiczna Miasta i Gminy Jarocin, krajowy numer identyfikacyjny 93837300000000, ul. Park  3 , 63-200  Jarocin, woj. wielkopolskie, państwo Polska, tel. 690 173 767 , e-mail administracja@bibliotekajarocin.pl, faks 0-62 747 23 46. </w:t>
      </w:r>
      <w:r w:rsidRPr="005D13DB">
        <w:rPr>
          <w:rFonts w:ascii="Times New Roman" w:eastAsia="Times New Roman" w:hAnsi="Times New Roman" w:cs="Times New Roman"/>
          <w:sz w:val="24"/>
          <w:szCs w:val="24"/>
          <w:lang w:eastAsia="pl-PL"/>
        </w:rPr>
        <w:br/>
        <w:t xml:space="preserve">Adres strony internetowej (URL): www.bibliotekajarocin.pl </w:t>
      </w:r>
      <w:r w:rsidRPr="005D13DB">
        <w:rPr>
          <w:rFonts w:ascii="Times New Roman" w:eastAsia="Times New Roman" w:hAnsi="Times New Roman" w:cs="Times New Roman"/>
          <w:sz w:val="24"/>
          <w:szCs w:val="24"/>
          <w:lang w:eastAsia="pl-PL"/>
        </w:rPr>
        <w:br/>
        <w:t xml:space="preserve">Adres profilu nabywcy: </w:t>
      </w:r>
      <w:r w:rsidRPr="005D13DB">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 xml:space="preserve">I. 2) RODZAJ ZAMAWIAJĄCEGO: </w:t>
      </w:r>
      <w:r w:rsidRPr="005D13DB">
        <w:rPr>
          <w:rFonts w:ascii="Times New Roman" w:eastAsia="Times New Roman" w:hAnsi="Times New Roman" w:cs="Times New Roman"/>
          <w:sz w:val="24"/>
          <w:szCs w:val="24"/>
          <w:lang w:eastAsia="pl-PL"/>
        </w:rPr>
        <w:t xml:space="preserve">Inny (proszę określić): </w:t>
      </w:r>
      <w:r w:rsidRPr="005D13DB">
        <w:rPr>
          <w:rFonts w:ascii="Times New Roman" w:eastAsia="Times New Roman" w:hAnsi="Times New Roman" w:cs="Times New Roman"/>
          <w:sz w:val="24"/>
          <w:szCs w:val="24"/>
          <w:lang w:eastAsia="pl-PL"/>
        </w:rPr>
        <w:br/>
        <w:t xml:space="preserve">Biblioteka Publiczna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 xml:space="preserve">I.3) WSPÓLNE UDZIELANIE ZAMÓWIENIA </w:t>
      </w:r>
      <w:r w:rsidRPr="005D13DB">
        <w:rPr>
          <w:rFonts w:ascii="Times New Roman" w:eastAsia="Times New Roman" w:hAnsi="Times New Roman" w:cs="Times New Roman"/>
          <w:b/>
          <w:bCs/>
          <w:i/>
          <w:iCs/>
          <w:sz w:val="24"/>
          <w:szCs w:val="24"/>
          <w:lang w:eastAsia="pl-PL"/>
        </w:rPr>
        <w:t>(jeżeli dotyczy)</w:t>
      </w:r>
      <w:r w:rsidRPr="005D13DB">
        <w:rPr>
          <w:rFonts w:ascii="Times New Roman" w:eastAsia="Times New Roman" w:hAnsi="Times New Roman" w:cs="Times New Roman"/>
          <w:b/>
          <w:bCs/>
          <w:sz w:val="24"/>
          <w:szCs w:val="24"/>
          <w:lang w:eastAsia="pl-PL"/>
        </w:rPr>
        <w:t xml:space="preserv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5D13DB">
        <w:rPr>
          <w:rFonts w:ascii="Times New Roman" w:eastAsia="Times New Roman" w:hAnsi="Times New Roman" w:cs="Times New Roman"/>
          <w:sz w:val="24"/>
          <w:szCs w:val="24"/>
          <w:lang w:eastAsia="pl-PL"/>
        </w:rPr>
        <w:br/>
        <w:t xml:space="preserve">Nie dotyczy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 xml:space="preserve">I.4) KOMUNIKACJA: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5D13DB">
        <w:rPr>
          <w:rFonts w:ascii="Times New Roman" w:eastAsia="Times New Roman" w:hAnsi="Times New Roman" w:cs="Times New Roman"/>
          <w:sz w:val="24"/>
          <w:szCs w:val="24"/>
          <w:lang w:eastAsia="pl-PL"/>
        </w:rPr>
        <w:t xml:space="preserv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Tak </w:t>
      </w:r>
      <w:r w:rsidRPr="005D13DB">
        <w:rPr>
          <w:rFonts w:ascii="Times New Roman" w:eastAsia="Times New Roman" w:hAnsi="Times New Roman" w:cs="Times New Roman"/>
          <w:sz w:val="24"/>
          <w:szCs w:val="24"/>
          <w:lang w:eastAsia="pl-PL"/>
        </w:rPr>
        <w:br/>
        <w:t xml:space="preserve">www.bibliotekajarocin.pl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Tak </w:t>
      </w:r>
      <w:r w:rsidRPr="005D13DB">
        <w:rPr>
          <w:rFonts w:ascii="Times New Roman" w:eastAsia="Times New Roman" w:hAnsi="Times New Roman" w:cs="Times New Roman"/>
          <w:sz w:val="24"/>
          <w:szCs w:val="24"/>
          <w:lang w:eastAsia="pl-PL"/>
        </w:rPr>
        <w:br/>
        <w:t xml:space="preserve">www.bibliotekajarocin.pl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Nie </w:t>
      </w:r>
      <w:r w:rsidRPr="005D13DB">
        <w:rPr>
          <w:rFonts w:ascii="Times New Roman" w:eastAsia="Times New Roman" w:hAnsi="Times New Roman" w:cs="Times New Roman"/>
          <w:sz w:val="24"/>
          <w:szCs w:val="24"/>
          <w:lang w:eastAsia="pl-PL"/>
        </w:rPr>
        <w:br/>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Oferty lub wnioski o dopuszczenie do udziału w postępowaniu należy przesyłać:</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Elektronicznie</w:t>
      </w:r>
      <w:r w:rsidRPr="005D13DB">
        <w:rPr>
          <w:rFonts w:ascii="Times New Roman" w:eastAsia="Times New Roman" w:hAnsi="Times New Roman" w:cs="Times New Roman"/>
          <w:sz w:val="24"/>
          <w:szCs w:val="24"/>
          <w:lang w:eastAsia="pl-PL"/>
        </w:rPr>
        <w:t xml:space="preserv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Nie </w:t>
      </w:r>
      <w:r w:rsidRPr="005D13DB">
        <w:rPr>
          <w:rFonts w:ascii="Times New Roman" w:eastAsia="Times New Roman" w:hAnsi="Times New Roman" w:cs="Times New Roman"/>
          <w:sz w:val="24"/>
          <w:szCs w:val="24"/>
          <w:lang w:eastAsia="pl-PL"/>
        </w:rPr>
        <w:br/>
        <w:t xml:space="preserve">adres </w:t>
      </w:r>
      <w:r w:rsidRPr="005D13DB">
        <w:rPr>
          <w:rFonts w:ascii="Times New Roman" w:eastAsia="Times New Roman" w:hAnsi="Times New Roman" w:cs="Times New Roman"/>
          <w:sz w:val="24"/>
          <w:szCs w:val="24"/>
          <w:lang w:eastAsia="pl-PL"/>
        </w:rPr>
        <w:br/>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t xml:space="preserve">Nie </w:t>
      </w:r>
      <w:r w:rsidRPr="005D13DB">
        <w:rPr>
          <w:rFonts w:ascii="Times New Roman" w:eastAsia="Times New Roman" w:hAnsi="Times New Roman" w:cs="Times New Roman"/>
          <w:sz w:val="24"/>
          <w:szCs w:val="24"/>
          <w:lang w:eastAsia="pl-PL"/>
        </w:rPr>
        <w:br/>
        <w:t xml:space="preserve">Inny sposób: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t xml:space="preserve">Tak </w:t>
      </w:r>
      <w:r w:rsidRPr="005D13DB">
        <w:rPr>
          <w:rFonts w:ascii="Times New Roman" w:eastAsia="Times New Roman" w:hAnsi="Times New Roman" w:cs="Times New Roman"/>
          <w:sz w:val="24"/>
          <w:szCs w:val="24"/>
          <w:lang w:eastAsia="pl-PL"/>
        </w:rPr>
        <w:br/>
        <w:t xml:space="preserve">Inny sposób: </w:t>
      </w:r>
      <w:r w:rsidRPr="005D13DB">
        <w:rPr>
          <w:rFonts w:ascii="Times New Roman" w:eastAsia="Times New Roman" w:hAnsi="Times New Roman" w:cs="Times New Roman"/>
          <w:sz w:val="24"/>
          <w:szCs w:val="24"/>
          <w:lang w:eastAsia="pl-PL"/>
        </w:rPr>
        <w:br/>
        <w:t xml:space="preserve">Ofertę składa się pod rygorem nieważności w formie pisemnej. </w:t>
      </w:r>
      <w:r w:rsidRPr="005D13DB">
        <w:rPr>
          <w:rFonts w:ascii="Times New Roman" w:eastAsia="Times New Roman" w:hAnsi="Times New Roman" w:cs="Times New Roman"/>
          <w:sz w:val="24"/>
          <w:szCs w:val="24"/>
          <w:lang w:eastAsia="pl-PL"/>
        </w:rPr>
        <w:br/>
        <w:t xml:space="preserve">Adres: </w:t>
      </w:r>
      <w:r w:rsidRPr="005D13DB">
        <w:rPr>
          <w:rFonts w:ascii="Times New Roman" w:eastAsia="Times New Roman" w:hAnsi="Times New Roman" w:cs="Times New Roman"/>
          <w:sz w:val="24"/>
          <w:szCs w:val="24"/>
          <w:lang w:eastAsia="pl-PL"/>
        </w:rPr>
        <w:br/>
        <w:t xml:space="preserve">Jarocińska Agencja Rozwoju Sp. z o.o. Ul. T. Kościuszki 15 B, 63-200 Jarocin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5D13DB">
        <w:rPr>
          <w:rFonts w:ascii="Times New Roman" w:eastAsia="Times New Roman" w:hAnsi="Times New Roman" w:cs="Times New Roman"/>
          <w:sz w:val="24"/>
          <w:szCs w:val="24"/>
          <w:lang w:eastAsia="pl-PL"/>
        </w:rPr>
        <w:t xml:space="preserv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Nie </w:t>
      </w:r>
      <w:r w:rsidRPr="005D13DB">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5D13DB">
        <w:rPr>
          <w:rFonts w:ascii="Times New Roman" w:eastAsia="Times New Roman" w:hAnsi="Times New Roman" w:cs="Times New Roman"/>
          <w:sz w:val="24"/>
          <w:szCs w:val="24"/>
          <w:lang w:eastAsia="pl-PL"/>
        </w:rPr>
        <w:br/>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u w:val="single"/>
          <w:lang w:eastAsia="pl-PL"/>
        </w:rPr>
        <w:t xml:space="preserve">SEKCJA II: PRZEDMIOT ZAMÓWIENIA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II.1) Nazwa nadana zamówieniu przez zamawiającego: </w:t>
      </w:r>
      <w:r w:rsidRPr="005D13DB">
        <w:rPr>
          <w:rFonts w:ascii="Times New Roman" w:eastAsia="Times New Roman" w:hAnsi="Times New Roman" w:cs="Times New Roman"/>
          <w:sz w:val="24"/>
          <w:szCs w:val="24"/>
          <w:lang w:eastAsia="pl-PL"/>
        </w:rPr>
        <w:t xml:space="preserve">„WYPOSAŻENIE NOWEJ SIEDZIBY BIBLIOTEKI W KAMIENICY PRZY UL. RYNEK 17 W JAROCINIE, dz. nr 1678”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Numer referencyjny: </w:t>
      </w:r>
      <w:r w:rsidRPr="005D13DB">
        <w:rPr>
          <w:rFonts w:ascii="Times New Roman" w:eastAsia="Times New Roman" w:hAnsi="Times New Roman" w:cs="Times New Roman"/>
          <w:sz w:val="24"/>
          <w:szCs w:val="24"/>
          <w:lang w:eastAsia="pl-PL"/>
        </w:rPr>
        <w:t xml:space="preserve">ZP/1/2018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5D13DB" w:rsidRPr="005D13DB" w:rsidRDefault="005D13DB" w:rsidP="005D13DB">
      <w:pPr>
        <w:spacing w:after="0" w:line="240" w:lineRule="auto"/>
        <w:jc w:val="both"/>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Nie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II.2) Rodzaj zamówienia: </w:t>
      </w:r>
      <w:r w:rsidRPr="005D13DB">
        <w:rPr>
          <w:rFonts w:ascii="Times New Roman" w:eastAsia="Times New Roman" w:hAnsi="Times New Roman" w:cs="Times New Roman"/>
          <w:sz w:val="24"/>
          <w:szCs w:val="24"/>
          <w:lang w:eastAsia="pl-PL"/>
        </w:rPr>
        <w:t xml:space="preserve">Usługi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II.3) Informacja o możliwości składania ofert częściowych</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t xml:space="preserve">Zamówienie podzielone jest na części: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Nie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Oferty lub wnioski o dopuszczenie do udziału w postępowaniu można składać w odniesieniu do:</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II.4) Krótki opis przedmiotu zamówienia </w:t>
      </w:r>
      <w:r w:rsidRPr="005D13DB">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5D13DB">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5D13DB">
        <w:rPr>
          <w:rFonts w:ascii="Times New Roman" w:eastAsia="Times New Roman" w:hAnsi="Times New Roman" w:cs="Times New Roman"/>
          <w:sz w:val="24"/>
          <w:szCs w:val="24"/>
          <w:lang w:eastAsia="pl-PL"/>
        </w:rPr>
        <w:t xml:space="preserve">5.1. Przedmiotem inwestycji jest nowa aranżacja oraz wykończenie wnętrz Kamienicy Biblioteki Publicznej Miasta i Gminy Jarocin w Jarocinie przy ul. Rynek 17 zgodnie z SIWZ Tom III – Szczegółowy opis przedmiotu zamówienia. 5.2. Kod i nazwa wg Wspólnego Słownika Zamówień (CPV): </w:t>
      </w:r>
      <w:r w:rsidRPr="005D13DB">
        <w:rPr>
          <w:rFonts w:ascii="Times New Roman" w:eastAsia="Times New Roman" w:hAnsi="Times New Roman" w:cs="Times New Roman"/>
          <w:sz w:val="24"/>
          <w:szCs w:val="24"/>
          <w:lang w:eastAsia="pl-PL"/>
        </w:rPr>
        <w:sym w:font="Symbol" w:char="F0A7"/>
      </w:r>
      <w:r w:rsidRPr="005D13DB">
        <w:rPr>
          <w:rFonts w:ascii="Times New Roman" w:eastAsia="Times New Roman" w:hAnsi="Times New Roman" w:cs="Times New Roman"/>
          <w:sz w:val="24"/>
          <w:szCs w:val="24"/>
          <w:lang w:eastAsia="pl-PL"/>
        </w:rPr>
        <w:t xml:space="preserve"> 39000000-2 Meble (włącznie z biurowymi), wyposażenie, urządzenia domowe (z wyłączeniem oświetlenia) i środki czyszczące, </w:t>
      </w:r>
      <w:r w:rsidRPr="005D13DB">
        <w:rPr>
          <w:rFonts w:ascii="Times New Roman" w:eastAsia="Times New Roman" w:hAnsi="Times New Roman" w:cs="Times New Roman"/>
          <w:sz w:val="24"/>
          <w:szCs w:val="24"/>
          <w:lang w:eastAsia="pl-PL"/>
        </w:rPr>
        <w:sym w:font="Symbol" w:char="F0A7"/>
      </w:r>
      <w:r w:rsidRPr="005D13DB">
        <w:rPr>
          <w:rFonts w:ascii="Times New Roman" w:eastAsia="Times New Roman" w:hAnsi="Times New Roman" w:cs="Times New Roman"/>
          <w:sz w:val="24"/>
          <w:szCs w:val="24"/>
          <w:lang w:eastAsia="pl-PL"/>
        </w:rPr>
        <w:t xml:space="preserve"> 39155100-4 Wyposażenie bibliotek, </w:t>
      </w:r>
      <w:r w:rsidRPr="005D13DB">
        <w:rPr>
          <w:rFonts w:ascii="Times New Roman" w:eastAsia="Times New Roman" w:hAnsi="Times New Roman" w:cs="Times New Roman"/>
          <w:sz w:val="24"/>
          <w:szCs w:val="24"/>
          <w:lang w:eastAsia="pl-PL"/>
        </w:rPr>
        <w:sym w:font="Symbol" w:char="F0A7"/>
      </w:r>
      <w:r w:rsidRPr="005D13DB">
        <w:rPr>
          <w:rFonts w:ascii="Times New Roman" w:eastAsia="Times New Roman" w:hAnsi="Times New Roman" w:cs="Times New Roman"/>
          <w:sz w:val="24"/>
          <w:szCs w:val="24"/>
          <w:lang w:eastAsia="pl-PL"/>
        </w:rPr>
        <w:t xml:space="preserve"> 39155000-3 Meble biblioteczne, </w:t>
      </w:r>
      <w:r w:rsidRPr="005D13DB">
        <w:rPr>
          <w:rFonts w:ascii="Times New Roman" w:eastAsia="Times New Roman" w:hAnsi="Times New Roman" w:cs="Times New Roman"/>
          <w:sz w:val="24"/>
          <w:szCs w:val="24"/>
          <w:lang w:eastAsia="pl-PL"/>
        </w:rPr>
        <w:sym w:font="Symbol" w:char="F0A7"/>
      </w:r>
      <w:r w:rsidRPr="005D13DB">
        <w:rPr>
          <w:rFonts w:ascii="Times New Roman" w:eastAsia="Times New Roman" w:hAnsi="Times New Roman" w:cs="Times New Roman"/>
          <w:sz w:val="24"/>
          <w:szCs w:val="24"/>
          <w:lang w:eastAsia="pl-PL"/>
        </w:rPr>
        <w:t xml:space="preserve"> 39150000-8 Różne meble i wyposażenie, </w:t>
      </w:r>
      <w:r w:rsidRPr="005D13DB">
        <w:rPr>
          <w:rFonts w:ascii="Times New Roman" w:eastAsia="Times New Roman" w:hAnsi="Times New Roman" w:cs="Times New Roman"/>
          <w:sz w:val="24"/>
          <w:szCs w:val="24"/>
          <w:lang w:eastAsia="pl-PL"/>
        </w:rPr>
        <w:sym w:font="Symbol" w:char="F0A7"/>
      </w:r>
      <w:r w:rsidRPr="005D13DB">
        <w:rPr>
          <w:rFonts w:ascii="Times New Roman" w:eastAsia="Times New Roman" w:hAnsi="Times New Roman" w:cs="Times New Roman"/>
          <w:sz w:val="24"/>
          <w:szCs w:val="24"/>
          <w:lang w:eastAsia="pl-PL"/>
        </w:rPr>
        <w:t xml:space="preserve"> 39113000-7 Różne siedziska i krzesła, </w:t>
      </w:r>
      <w:r w:rsidRPr="005D13DB">
        <w:rPr>
          <w:rFonts w:ascii="Times New Roman" w:eastAsia="Times New Roman" w:hAnsi="Times New Roman" w:cs="Times New Roman"/>
          <w:sz w:val="24"/>
          <w:szCs w:val="24"/>
          <w:lang w:eastAsia="pl-PL"/>
        </w:rPr>
        <w:sym w:font="Symbol" w:char="F0A7"/>
      </w:r>
      <w:r w:rsidRPr="005D13DB">
        <w:rPr>
          <w:rFonts w:ascii="Times New Roman" w:eastAsia="Times New Roman" w:hAnsi="Times New Roman" w:cs="Times New Roman"/>
          <w:sz w:val="24"/>
          <w:szCs w:val="24"/>
          <w:lang w:eastAsia="pl-PL"/>
        </w:rPr>
        <w:t xml:space="preserve"> 31000000-6 Maszyny, aparatura, urządzenia i wyroby elektryczne; oświetlenie, </w:t>
      </w:r>
      <w:r w:rsidRPr="005D13DB">
        <w:rPr>
          <w:rFonts w:ascii="Times New Roman" w:eastAsia="Times New Roman" w:hAnsi="Times New Roman" w:cs="Times New Roman"/>
          <w:sz w:val="24"/>
          <w:szCs w:val="24"/>
          <w:lang w:eastAsia="pl-PL"/>
        </w:rPr>
        <w:sym w:font="Symbol" w:char="F0A7"/>
      </w:r>
      <w:r w:rsidRPr="005D13DB">
        <w:rPr>
          <w:rFonts w:ascii="Times New Roman" w:eastAsia="Times New Roman" w:hAnsi="Times New Roman" w:cs="Times New Roman"/>
          <w:sz w:val="24"/>
          <w:szCs w:val="24"/>
          <w:lang w:eastAsia="pl-PL"/>
        </w:rPr>
        <w:t xml:space="preserve"> 39220000-0 Sprzęt kuchenny, artykuły gospodarstwa domowego i artykuły domowe oraz artykuły cateringowe, </w:t>
      </w:r>
      <w:r w:rsidRPr="005D13DB">
        <w:rPr>
          <w:rFonts w:ascii="Times New Roman" w:eastAsia="Times New Roman" w:hAnsi="Times New Roman" w:cs="Times New Roman"/>
          <w:sz w:val="24"/>
          <w:szCs w:val="24"/>
          <w:lang w:eastAsia="pl-PL"/>
        </w:rPr>
        <w:sym w:font="Symbol" w:char="F0A7"/>
      </w:r>
      <w:r w:rsidRPr="005D13DB">
        <w:rPr>
          <w:rFonts w:ascii="Times New Roman" w:eastAsia="Times New Roman" w:hAnsi="Times New Roman" w:cs="Times New Roman"/>
          <w:sz w:val="24"/>
          <w:szCs w:val="24"/>
          <w:lang w:eastAsia="pl-PL"/>
        </w:rPr>
        <w:t xml:space="preserve"> 45400000-1 Roboty wykończeniowe w zakresie obiektów budowlanych, </w:t>
      </w:r>
      <w:r w:rsidRPr="005D13DB">
        <w:rPr>
          <w:rFonts w:ascii="Times New Roman" w:eastAsia="Times New Roman" w:hAnsi="Times New Roman" w:cs="Times New Roman"/>
          <w:sz w:val="24"/>
          <w:szCs w:val="24"/>
          <w:lang w:eastAsia="pl-PL"/>
        </w:rPr>
        <w:sym w:font="Symbol" w:char="F0A7"/>
      </w:r>
      <w:r w:rsidRPr="005D13DB">
        <w:rPr>
          <w:rFonts w:ascii="Times New Roman" w:eastAsia="Times New Roman" w:hAnsi="Times New Roman" w:cs="Times New Roman"/>
          <w:sz w:val="24"/>
          <w:szCs w:val="24"/>
          <w:lang w:eastAsia="pl-PL"/>
        </w:rPr>
        <w:t xml:space="preserve"> 45420000-7 Roboty w zakresie zakładania stolarki budowlanej oraz roboty ciesielskie, </w:t>
      </w:r>
      <w:r w:rsidRPr="005D13DB">
        <w:rPr>
          <w:rFonts w:ascii="Times New Roman" w:eastAsia="Times New Roman" w:hAnsi="Times New Roman" w:cs="Times New Roman"/>
          <w:sz w:val="24"/>
          <w:szCs w:val="24"/>
          <w:lang w:eastAsia="pl-PL"/>
        </w:rPr>
        <w:sym w:font="Symbol" w:char="F0A7"/>
      </w:r>
      <w:r w:rsidRPr="005D13DB">
        <w:rPr>
          <w:rFonts w:ascii="Times New Roman" w:eastAsia="Times New Roman" w:hAnsi="Times New Roman" w:cs="Times New Roman"/>
          <w:sz w:val="24"/>
          <w:szCs w:val="24"/>
          <w:lang w:eastAsia="pl-PL"/>
        </w:rPr>
        <w:t xml:space="preserve"> 60100000-9 Usługi w zakresie transportu drogowego. 5.3. Szczegółowy opis i zakres przedmiotu zamówienia przedstawia Tom III SIWZ. 5.4. Szczegółowe zasady realizacji zamówienia zawiera Tom II SIWZ Wzór umowy. 5.5. Zamawiający wymaga zatrudnienia na podstawie umowy o pracę przez Wykonawcę lub podwykonawcę osób wykonujących czynności będące przedmiotem niniejszej umowy w trakcie realizacji zamówienia, które mieszczą się w świadczeniu usług montażowych. Powyższy wymóg nie dotyczy osób odnośnie których Wykonawca wykaże, ze ww. czynności nie będą w żadnym zakresie wykonywane pod kierownictwem oraz w miejscu i czasie wyznaczonym przez Wykonawcę lub podwykonawcę oraz co do zasady nie ma on zastosowania do kierownika prac. Wymóg ten nie dotyczy także osób samozatrudnionych oraz wspólników spółki, którzy sami realizują prace związane z realizacją przedmiotu zamówienia 5.6. W trakcie realizacji zamówienia Zamawiający uprawniony jest do wykonywania czynności kontrolnych wobec Wykonawcy odnośnie spełniania przez Wykonawcę lub podwykonawcę wymogu zatrudnienia na podstawie umowy o pracę osób wykonujących wskazane w pkt. 5.5. czynności. Zamawiający uprawniony jest w szczególności do: 1) żądania oświadczeń i dokumentów w zakresie potwierdzenia spełniania ww. wymogów i dokonywania ich oceny, 2) żądania wyjaśnień w przypadku wątpliwości w zakresie potwierdzenia spełniania ww. wymogów, 3) przeprowadzania kontroli na miejscu wykonywania świadczenia. 5.7. 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pkt. 5.5. czynności w trakcie realizacji zamówienia: - 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 5.8. Z tytułu niespełnienia przez Wykonawcę lub podwykonawcę wymogu zatrudnienia na podstawie umowy o pracę osób wykonujących wskazane w pkt. 5.5 czynności Zamawiający przewiduje sankcję w postaci obowiązku zapłaty przez Wykonawcę kary umownej w wysokości 1.000,00 złotych za każdy stwierdzony przypadek naruszenia obowiązku określonego w pkt. 5.5. Niezłożenie przez Wykonawcę w wyznaczonym przez Zamawiającego terminie nie krótszym niż 7 dni,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pkt. 5.5. czynności. 5.9. W przypadku uzasadnionych wątpliwości co do przestrzegania prawa pracy przez Wykonawcę lub podwykonawcę, Zamawiający może zwrócić się o przeprowadzenie kontroli przez Państwową Inspekcję Pracy. 6. Podwykonawstwo: a) Zamawiający nie zastrzega obowiązku osobistego wykonania przez Wykonawcę kluczowych części zamówienia, b) Wykonawca może powierzyć wykonanie części zamówienia podwykonawcy, c) Zamawiający żąda wskazania przez Wykonawcę części zamówienia, których wykonanie zamierza powierzyć podwykonawcom, i podania przez Wykonawcę firm podwykonawców, zgodnie z pkt. 10 Tomu I (IDW) SIWZ.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II.5) Główny kod CPV: </w:t>
      </w:r>
      <w:r w:rsidRPr="005D13DB">
        <w:rPr>
          <w:rFonts w:ascii="Times New Roman" w:eastAsia="Times New Roman" w:hAnsi="Times New Roman" w:cs="Times New Roman"/>
          <w:sz w:val="24"/>
          <w:szCs w:val="24"/>
          <w:lang w:eastAsia="pl-PL"/>
        </w:rPr>
        <w:t xml:space="preserve">39155100-4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Dodatkowe kody CPV:</w:t>
      </w:r>
      <w:r w:rsidRPr="005D13DB">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5D13DB" w:rsidRPr="005D13DB" w:rsidTr="005D13DB">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Kod CPV</w:t>
            </w:r>
          </w:p>
        </w:tc>
      </w:tr>
      <w:tr w:rsidR="005D13DB" w:rsidRPr="005D13DB" w:rsidTr="005D13DB">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39000000-2</w:t>
            </w:r>
          </w:p>
        </w:tc>
      </w:tr>
      <w:tr w:rsidR="005D13DB" w:rsidRPr="005D13DB" w:rsidTr="005D13DB">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39155000-3</w:t>
            </w:r>
          </w:p>
        </w:tc>
      </w:tr>
      <w:tr w:rsidR="005D13DB" w:rsidRPr="005D13DB" w:rsidTr="005D13DB">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39150000-8</w:t>
            </w:r>
          </w:p>
        </w:tc>
      </w:tr>
      <w:tr w:rsidR="005D13DB" w:rsidRPr="005D13DB" w:rsidTr="005D13DB">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39113000-7</w:t>
            </w:r>
          </w:p>
        </w:tc>
      </w:tr>
      <w:tr w:rsidR="005D13DB" w:rsidRPr="005D13DB" w:rsidTr="005D13DB">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31000000-6</w:t>
            </w:r>
          </w:p>
        </w:tc>
      </w:tr>
      <w:tr w:rsidR="005D13DB" w:rsidRPr="005D13DB" w:rsidTr="005D13DB">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39220000-0</w:t>
            </w:r>
          </w:p>
        </w:tc>
      </w:tr>
      <w:tr w:rsidR="005D13DB" w:rsidRPr="005D13DB" w:rsidTr="005D13DB">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45400000-1</w:t>
            </w:r>
          </w:p>
        </w:tc>
      </w:tr>
      <w:tr w:rsidR="005D13DB" w:rsidRPr="005D13DB" w:rsidTr="005D13DB">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45420000-7</w:t>
            </w:r>
          </w:p>
        </w:tc>
      </w:tr>
      <w:tr w:rsidR="005D13DB" w:rsidRPr="005D13DB" w:rsidTr="005D13DB">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60100000-9</w:t>
            </w:r>
          </w:p>
        </w:tc>
      </w:tr>
    </w:tbl>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II.6) Całkowita wartość zamówienia </w:t>
      </w:r>
      <w:r w:rsidRPr="005D13DB">
        <w:rPr>
          <w:rFonts w:ascii="Times New Roman" w:eastAsia="Times New Roman" w:hAnsi="Times New Roman" w:cs="Times New Roman"/>
          <w:i/>
          <w:iCs/>
          <w:sz w:val="24"/>
          <w:szCs w:val="24"/>
          <w:lang w:eastAsia="pl-PL"/>
        </w:rPr>
        <w:t>(jeżeli zamawiający podaje informacje o wartości zamówienia)</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t xml:space="preserve">Wartość bez VAT: </w:t>
      </w:r>
      <w:r w:rsidRPr="005D13DB">
        <w:rPr>
          <w:rFonts w:ascii="Times New Roman" w:eastAsia="Times New Roman" w:hAnsi="Times New Roman" w:cs="Times New Roman"/>
          <w:sz w:val="24"/>
          <w:szCs w:val="24"/>
          <w:lang w:eastAsia="pl-PL"/>
        </w:rPr>
        <w:br/>
        <w:t xml:space="preserve">Waluta: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5D13DB">
        <w:rPr>
          <w:rFonts w:ascii="Times New Roman" w:eastAsia="Times New Roman" w:hAnsi="Times New Roman" w:cs="Times New Roman"/>
          <w:sz w:val="24"/>
          <w:szCs w:val="24"/>
          <w:lang w:eastAsia="pl-PL"/>
        </w:rPr>
        <w:t xml:space="preserv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5D13DB">
        <w:rPr>
          <w:rFonts w:ascii="Times New Roman" w:eastAsia="Times New Roman" w:hAnsi="Times New Roman" w:cs="Times New Roman"/>
          <w:b/>
          <w:bCs/>
          <w:sz w:val="24"/>
          <w:szCs w:val="24"/>
          <w:lang w:eastAsia="pl-PL"/>
        </w:rPr>
        <w:t>Pzp</w:t>
      </w:r>
      <w:proofErr w:type="spellEnd"/>
      <w:r w:rsidRPr="005D13DB">
        <w:rPr>
          <w:rFonts w:ascii="Times New Roman" w:eastAsia="Times New Roman" w:hAnsi="Times New Roman" w:cs="Times New Roman"/>
          <w:b/>
          <w:bCs/>
          <w:sz w:val="24"/>
          <w:szCs w:val="24"/>
          <w:lang w:eastAsia="pl-PL"/>
        </w:rPr>
        <w:t xml:space="preserve">: </w:t>
      </w:r>
      <w:r w:rsidRPr="005D13DB">
        <w:rPr>
          <w:rFonts w:ascii="Times New Roman" w:eastAsia="Times New Roman" w:hAnsi="Times New Roman" w:cs="Times New Roman"/>
          <w:sz w:val="24"/>
          <w:szCs w:val="24"/>
          <w:lang w:eastAsia="pl-PL"/>
        </w:rPr>
        <w:t xml:space="preserve">Nie </w:t>
      </w:r>
      <w:r w:rsidRPr="005D13DB">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5D13DB">
        <w:rPr>
          <w:rFonts w:ascii="Times New Roman" w:eastAsia="Times New Roman" w:hAnsi="Times New Roman" w:cs="Times New Roman"/>
          <w:sz w:val="24"/>
          <w:szCs w:val="24"/>
          <w:lang w:eastAsia="pl-PL"/>
        </w:rPr>
        <w:t>Pzp</w:t>
      </w:r>
      <w:proofErr w:type="spellEnd"/>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t>miesiącach:   </w:t>
      </w:r>
      <w:r w:rsidRPr="005D13DB">
        <w:rPr>
          <w:rFonts w:ascii="Times New Roman" w:eastAsia="Times New Roman" w:hAnsi="Times New Roman" w:cs="Times New Roman"/>
          <w:i/>
          <w:iCs/>
          <w:sz w:val="24"/>
          <w:szCs w:val="24"/>
          <w:lang w:eastAsia="pl-PL"/>
        </w:rPr>
        <w:t xml:space="preserve"> lub </w:t>
      </w:r>
      <w:r w:rsidRPr="005D13DB">
        <w:rPr>
          <w:rFonts w:ascii="Times New Roman" w:eastAsia="Times New Roman" w:hAnsi="Times New Roman" w:cs="Times New Roman"/>
          <w:b/>
          <w:bCs/>
          <w:sz w:val="24"/>
          <w:szCs w:val="24"/>
          <w:lang w:eastAsia="pl-PL"/>
        </w:rPr>
        <w:t>dniach:</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i/>
          <w:iCs/>
          <w:sz w:val="24"/>
          <w:szCs w:val="24"/>
          <w:lang w:eastAsia="pl-PL"/>
        </w:rPr>
        <w:t>lub</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data rozpoczęcia: </w:t>
      </w:r>
      <w:r w:rsidRPr="005D13DB">
        <w:rPr>
          <w:rFonts w:ascii="Times New Roman" w:eastAsia="Times New Roman" w:hAnsi="Times New Roman" w:cs="Times New Roman"/>
          <w:sz w:val="24"/>
          <w:szCs w:val="24"/>
          <w:lang w:eastAsia="pl-PL"/>
        </w:rPr>
        <w:t> </w:t>
      </w:r>
      <w:r w:rsidRPr="005D13DB">
        <w:rPr>
          <w:rFonts w:ascii="Times New Roman" w:eastAsia="Times New Roman" w:hAnsi="Times New Roman" w:cs="Times New Roman"/>
          <w:i/>
          <w:iCs/>
          <w:sz w:val="24"/>
          <w:szCs w:val="24"/>
          <w:lang w:eastAsia="pl-PL"/>
        </w:rPr>
        <w:t xml:space="preserve"> lub </w:t>
      </w:r>
      <w:r w:rsidRPr="005D13DB">
        <w:rPr>
          <w:rFonts w:ascii="Times New Roman" w:eastAsia="Times New Roman" w:hAnsi="Times New Roman" w:cs="Times New Roman"/>
          <w:b/>
          <w:bCs/>
          <w:sz w:val="24"/>
          <w:szCs w:val="24"/>
          <w:lang w:eastAsia="pl-PL"/>
        </w:rPr>
        <w:t xml:space="preserve">zakończenia: </w:t>
      </w:r>
      <w:r w:rsidRPr="005D13DB">
        <w:rPr>
          <w:rFonts w:ascii="Times New Roman" w:eastAsia="Times New Roman" w:hAnsi="Times New Roman" w:cs="Times New Roman"/>
          <w:sz w:val="24"/>
          <w:szCs w:val="24"/>
          <w:lang w:eastAsia="pl-PL"/>
        </w:rPr>
        <w:t xml:space="preserve">2019-09-16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63"/>
        <w:gridCol w:w="1537"/>
        <w:gridCol w:w="1689"/>
        <w:gridCol w:w="1729"/>
      </w:tblGrid>
      <w:tr w:rsidR="005D13DB" w:rsidRPr="005D13DB" w:rsidTr="005D13DB">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Data zakończenia</w:t>
            </w:r>
          </w:p>
        </w:tc>
      </w:tr>
      <w:tr w:rsidR="005D13DB" w:rsidRPr="005D13DB" w:rsidTr="005D13DB">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2019-09-16</w:t>
            </w:r>
          </w:p>
        </w:tc>
      </w:tr>
    </w:tbl>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II.9) Informacje dodatkowe: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 xml:space="preserve">III.1) WARUNKI UDZIAŁU W POSTĘPOWANIU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t xml:space="preserve">Określenie warunków: Zamawiający nie określa ww. warunku udziału w postępowaniu. </w:t>
      </w:r>
      <w:r w:rsidRPr="005D13DB">
        <w:rPr>
          <w:rFonts w:ascii="Times New Roman" w:eastAsia="Times New Roman" w:hAnsi="Times New Roman" w:cs="Times New Roman"/>
          <w:sz w:val="24"/>
          <w:szCs w:val="24"/>
          <w:lang w:eastAsia="pl-PL"/>
        </w:rPr>
        <w:br/>
        <w:t xml:space="preserve">Informacje dodatkowe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III.1.2) Sytuacja finansowa lub ekonomiczna </w:t>
      </w:r>
      <w:r w:rsidRPr="005D13DB">
        <w:rPr>
          <w:rFonts w:ascii="Times New Roman" w:eastAsia="Times New Roman" w:hAnsi="Times New Roman" w:cs="Times New Roman"/>
          <w:sz w:val="24"/>
          <w:szCs w:val="24"/>
          <w:lang w:eastAsia="pl-PL"/>
        </w:rPr>
        <w:br/>
        <w:t xml:space="preserve">Określenie warunków: Zamawiający nie określa ww. warunku udziału w postępowaniu. </w:t>
      </w:r>
      <w:r w:rsidRPr="005D13DB">
        <w:rPr>
          <w:rFonts w:ascii="Times New Roman" w:eastAsia="Times New Roman" w:hAnsi="Times New Roman" w:cs="Times New Roman"/>
          <w:sz w:val="24"/>
          <w:szCs w:val="24"/>
          <w:lang w:eastAsia="pl-PL"/>
        </w:rPr>
        <w:br/>
        <w:t xml:space="preserve">Informacje dodatkowe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III.1.3) Zdolność techniczna lub zawodowa </w:t>
      </w:r>
      <w:r w:rsidRPr="005D13DB">
        <w:rPr>
          <w:rFonts w:ascii="Times New Roman" w:eastAsia="Times New Roman" w:hAnsi="Times New Roman" w:cs="Times New Roman"/>
          <w:sz w:val="24"/>
          <w:szCs w:val="24"/>
          <w:lang w:eastAsia="pl-PL"/>
        </w:rPr>
        <w:br/>
        <w:t xml:space="preserve">Określenie warunków: Zamawiający uzna warunek za spełniony, jeśli Wykonawca w okresie ostatnich trzech lat przed upływem terminu składania ofert, a jeżeli okres prowadzenia działalności jest krótszy, w tym okresie wykonał usługi polegające na dostawie i montażu mebli i urządzeń do zabudowy dla obiektów użyteczności publicznej o łącznej wartości nie mniejszej niż 200.000,00 zł. Powyższy warunek może być spełniony przez Wykonawców łącznie. </w:t>
      </w:r>
      <w:r w:rsidRPr="005D13DB">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5D13DB">
        <w:rPr>
          <w:rFonts w:ascii="Times New Roman" w:eastAsia="Times New Roman" w:hAnsi="Times New Roman" w:cs="Times New Roman"/>
          <w:sz w:val="24"/>
          <w:szCs w:val="24"/>
          <w:lang w:eastAsia="pl-PL"/>
        </w:rPr>
        <w:br/>
        <w:t xml:space="preserve">Informacje dodatkowe: 1. Zamawiający może, na każdym etapie postępowania, uznać, że Wykonawca nie posiada wymaganych zdolności, jeżeli zaangażowanie zasobów technicznych lub zawodowych Wykonawcy w inne przedsięwzięcia gospodarcze Wykonawcy może mieć negatywny wpływ na realizację zamówienia. 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 2.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Dokument, z którego będzie wynikać zobowiązanie podmiotu trzeciego powinien wyrażać w sposób jednoznaczny wolę udostępnienia Wykonawcy ubiegającemu się o zamówienie, odpowiedniego zasobu, czyli wskazywać, jakiego zasobu dotyczy, określać jego rodzaj, zakres, czas udostępnienia oraz inne okoliczności wynikające ze specyfiki danego zasobu. Z treści przedstawionego dokumentu musi jednoznacznie wynikać: - zakres dostępnych Wykonawcy zasobów innego podmiotu; - sposób wykorzystania zasobów innego podmiotu, przez Wykonawcę, przy wykonywaniu zamówienia publicznego; - zakres i okres udziału innego podmiotu przy wykonywaniu zamówienia publicznego; - czy podmiot, na zdolnościach którego wykonawca polega w odniesieniu do warunków udziału w postępowaniu dotyczących wykształcenia, kwalifikacji zawodowych lub doświadczenia, zrealizuje usługi, których wskazane zdolności dotyczą. 3. Zamawiający oceni, czy udostępniane Wykonawcy przez inne podmioty zdolności techniczne lub zawodowe lub ich sytuacja finansowa lub ekonomiczna, pozwalają na wykazanie przez Wykonawcę spełniania warunków udziału w postępowaniu oraz bada, czy nie zachodzą wobec tego podmiotu podstawy wykluczenia, o których mowa w art. 24 ust. 1 pkt. 13–22 ustawy </w:t>
      </w:r>
      <w:proofErr w:type="spellStart"/>
      <w:r w:rsidRPr="005D13DB">
        <w:rPr>
          <w:rFonts w:ascii="Times New Roman" w:eastAsia="Times New Roman" w:hAnsi="Times New Roman" w:cs="Times New Roman"/>
          <w:sz w:val="24"/>
          <w:szCs w:val="24"/>
          <w:lang w:eastAsia="pl-PL"/>
        </w:rPr>
        <w:t>Pzp</w:t>
      </w:r>
      <w:proofErr w:type="spellEnd"/>
      <w:r w:rsidRPr="005D13DB">
        <w:rPr>
          <w:rFonts w:ascii="Times New Roman" w:eastAsia="Times New Roman" w:hAnsi="Times New Roman" w:cs="Times New Roman"/>
          <w:sz w:val="24"/>
          <w:szCs w:val="24"/>
          <w:lang w:eastAsia="pl-PL"/>
        </w:rPr>
        <w:t xml:space="preserve"> oraz, o których mowa w pkt 8.2. IDW. 4. W odniesieniu do warunków dotyczących wykształcenia, kwalifikacji zawodowych lub doświadczenia, Wykonawcy mogą polegać na zdolnościach innych podmiotów, jeśli podmioty te zrealizują usługi, do realizacji których te zdolności są wymagane. 5. Jeżeli zdolności techniczne lub zawodowe lub sytuacja ekonomiczna lub finansowa, podmiotu, na którego zdolnościach polega Wykonawca, nie potwierdzają spełnienia przez Wykonawcę warunków udziału w postępowaniu lub zachodzą wobec tych podmiotów podstawy wykluczenia, Zamawiający zażąda, aby Wykonawca w terminie określonym przez Zamawiającego: a) zastąpił ten podmiot innym podmiotem lub podmiotami lub b) zobowiązał się do osobistego wykonania odpowiedniej części zamówienia, jeżeli wykaże zdolności techniczne lub zawodowe lub sytuację finansową lub ekonomiczną, o których mowa w pkt 10.1. IDW 6. 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(jeśli dotyczy). 7. Wykonawca, który powołuje się na zasoby innych podmiotów, w celu wykazania braku istnienia wobec nich podstaw wykluczenia oraz spełniania, w zakresie, w jakim powołuje się na ich zasoby, warunki udziału w postępowaniu zamieszcza informacje o tych podmiotach w oświadczeniu, o którym mowa w pkt 9.2. IDW. 8. Na wezwanie Zamawiającego Wykonawca, który polega na zdolnościach lub sytuacji innych podmiotów na zasadach określonych w art. 22a ustawy </w:t>
      </w:r>
      <w:proofErr w:type="spellStart"/>
      <w:r w:rsidRPr="005D13DB">
        <w:rPr>
          <w:rFonts w:ascii="Times New Roman" w:eastAsia="Times New Roman" w:hAnsi="Times New Roman" w:cs="Times New Roman"/>
          <w:sz w:val="24"/>
          <w:szCs w:val="24"/>
          <w:lang w:eastAsia="pl-PL"/>
        </w:rPr>
        <w:t>Pzp</w:t>
      </w:r>
      <w:proofErr w:type="spellEnd"/>
      <w:r w:rsidRPr="005D13DB">
        <w:rPr>
          <w:rFonts w:ascii="Times New Roman" w:eastAsia="Times New Roman" w:hAnsi="Times New Roman" w:cs="Times New Roman"/>
          <w:sz w:val="24"/>
          <w:szCs w:val="24"/>
          <w:lang w:eastAsia="pl-PL"/>
        </w:rPr>
        <w:t xml:space="preserve">, zobowiązany jest do przedstawienia w odniesieniu do tych podmiotów dokumentów wymienionych w pkt 9.6.2) IDW. 9. Wykonawca, który zamierza powierzyć wykonanie części zamówienia podwykonawcom, na etapie postępowania o udzielenie zamówienia publicznego jest zobowiązany wskazać w ofercie części zamówienia, których wykonanie zamierza powierzyć podwykonawcom.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 xml:space="preserve">III.2) PODSTAWY WYKLUCZENIA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5D13DB">
        <w:rPr>
          <w:rFonts w:ascii="Times New Roman" w:eastAsia="Times New Roman" w:hAnsi="Times New Roman" w:cs="Times New Roman"/>
          <w:b/>
          <w:bCs/>
          <w:sz w:val="24"/>
          <w:szCs w:val="24"/>
          <w:lang w:eastAsia="pl-PL"/>
        </w:rPr>
        <w:t>Pzp</w:t>
      </w:r>
      <w:proofErr w:type="spellEnd"/>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5D13DB">
        <w:rPr>
          <w:rFonts w:ascii="Times New Roman" w:eastAsia="Times New Roman" w:hAnsi="Times New Roman" w:cs="Times New Roman"/>
          <w:b/>
          <w:bCs/>
          <w:sz w:val="24"/>
          <w:szCs w:val="24"/>
          <w:lang w:eastAsia="pl-PL"/>
        </w:rPr>
        <w:t>Pzp</w:t>
      </w:r>
      <w:proofErr w:type="spellEnd"/>
      <w:r w:rsidRPr="005D13DB">
        <w:rPr>
          <w:rFonts w:ascii="Times New Roman" w:eastAsia="Times New Roman" w:hAnsi="Times New Roman" w:cs="Times New Roman"/>
          <w:sz w:val="24"/>
          <w:szCs w:val="24"/>
          <w:lang w:eastAsia="pl-PL"/>
        </w:rPr>
        <w:t xml:space="preserve"> Tak Zamawiający przewiduje następujące fakultatywne podstawy wykluczenia: Tak (podstawa wykluczenia określona w art. 24 ust. 5 pkt 1 ustawy </w:t>
      </w:r>
      <w:proofErr w:type="spellStart"/>
      <w:r w:rsidRPr="005D13DB">
        <w:rPr>
          <w:rFonts w:ascii="Times New Roman" w:eastAsia="Times New Roman" w:hAnsi="Times New Roman" w:cs="Times New Roman"/>
          <w:sz w:val="24"/>
          <w:szCs w:val="24"/>
          <w:lang w:eastAsia="pl-PL"/>
        </w:rPr>
        <w:t>Pzp</w:t>
      </w:r>
      <w:proofErr w:type="spellEnd"/>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t xml:space="preserve">Tak (podstawa wykluczenia określona w art. 24 ust. 5 pkt 4 ustawy </w:t>
      </w:r>
      <w:proofErr w:type="spellStart"/>
      <w:r w:rsidRPr="005D13DB">
        <w:rPr>
          <w:rFonts w:ascii="Times New Roman" w:eastAsia="Times New Roman" w:hAnsi="Times New Roman" w:cs="Times New Roman"/>
          <w:sz w:val="24"/>
          <w:szCs w:val="24"/>
          <w:lang w:eastAsia="pl-PL"/>
        </w:rPr>
        <w:t>Pzp</w:t>
      </w:r>
      <w:proofErr w:type="spellEnd"/>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5D13DB">
        <w:rPr>
          <w:rFonts w:ascii="Times New Roman" w:eastAsia="Times New Roman" w:hAnsi="Times New Roman" w:cs="Times New Roman"/>
          <w:sz w:val="24"/>
          <w:szCs w:val="24"/>
          <w:lang w:eastAsia="pl-PL"/>
        </w:rPr>
        <w:br/>
        <w:t xml:space="preserve">Tak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Oświadczenie o spełnianiu kryteriów selekcji </w:t>
      </w:r>
      <w:r w:rsidRPr="005D13DB">
        <w:rPr>
          <w:rFonts w:ascii="Times New Roman" w:eastAsia="Times New Roman" w:hAnsi="Times New Roman" w:cs="Times New Roman"/>
          <w:sz w:val="24"/>
          <w:szCs w:val="24"/>
          <w:lang w:eastAsia="pl-PL"/>
        </w:rPr>
        <w:br/>
        <w:t xml:space="preserve">Nie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 odpis z właściwego rejestru lub z centralnej ewidencji i informacji o działalności gospodarczej, jeżeli odrębne przepisy wymagają wpisu do rejestru lub ewidencji, w celu potwierdzenia braku podstaw wykluczenia na podstawie art. 24 ust. 5 pkt 1 ustawy. Na wezwanie Zamawiającego Wykonawca, który polega na zdolnościach lub sytuacji innych podmiotów na zasadach określonych w art. 22a ustawy </w:t>
      </w:r>
      <w:proofErr w:type="spellStart"/>
      <w:r w:rsidRPr="005D13DB">
        <w:rPr>
          <w:rFonts w:ascii="Times New Roman" w:eastAsia="Times New Roman" w:hAnsi="Times New Roman" w:cs="Times New Roman"/>
          <w:sz w:val="24"/>
          <w:szCs w:val="24"/>
          <w:lang w:eastAsia="pl-PL"/>
        </w:rPr>
        <w:t>Pzp</w:t>
      </w:r>
      <w:proofErr w:type="spellEnd"/>
      <w:r w:rsidRPr="005D13DB">
        <w:rPr>
          <w:rFonts w:ascii="Times New Roman" w:eastAsia="Times New Roman" w:hAnsi="Times New Roman" w:cs="Times New Roman"/>
          <w:sz w:val="24"/>
          <w:szCs w:val="24"/>
          <w:lang w:eastAsia="pl-PL"/>
        </w:rPr>
        <w:t xml:space="preserve">, zobowiązany jest do przedstawienia w odniesieniu do tych podmiotów dokumentu wymienionego powyżej.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III.5.1) W ZAKRESIE SPEŁNIANIA WARUNKÓW UDZIAŁU W POSTĘPOWANIU:</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t xml:space="preserve">- wykaz usług 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usługi zostały wykonane, z załączeniem dowodów określających czy te usługi zostały wykonane lub są wykonywane należycie, przy czym dowodami, o których mowa, są referencje bądź inne dokumenty wystawione przez podmiot, na rzecz którego usługi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ofert.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III.5.2) W ZAKRESIE KRYTERIÓW SELEKCJI:</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t xml:space="preserve">Nie dotyczy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a) karty katalogowe lub foldery mebli gotowych, b) próbki płyt w przypadku mebli płytowych, c) próbnik tkanin w przypadku mebli tapicerowanych, d) dokumenty dla Z4 blat z przewijakiem, potwierdzające zgodność produktu z wymogami normy: - EN 12221-1 lub równoważna (wymagania bezpieczeństwa dotyczące przewijaków niemowlęcych dla dzieci o masie ciała nie większej niż 15kg), - EN 12221-2 lub równoważna określa metody badań mające na celu bezpieczeństwo przewijaków niemowlęcych, e) dokumenty dla K1 Krzesło drewniane gięte z podłokietnikami, potwierdzające zgodność produktu z wymogami normy: - BS 5852 lub równoważna (określa palność tkaniny: zapłon 0-5), - EN 16139 Meble - Wytrzymałość, Trwałość i Bezpieczeństwo lub równoważna (norma dotycząca wytrzymałości, trwałości oraz bezpieczeństwa siedzisk użytkowanych poza mieszkaniem do użytkowania przez osoby dorosłe o wadze do 110kg), - EN 1728, 6.4 – poziom II, lub równoważna (określa trwałość i wytrzymałość krzesła), - certyfikat ISO 14001 lub równoważny, - certyfikat ISO 9001 lub równoważny, - Przynależność producenta do organizacji PEFC lub równoważnej, f) dokumenty dla K3 Krzesło miękkie, potwierdzające zgodność produktu z wymogami normy: - EN 1021-1:2006 lub równoważna (metoda badań oceny zapalności kombinacji materiałów, takich jak pokryciowe i wypełnienia stosowanych w siedziskach tapicerowanych, narażonych na działanie tlącego papierosa jako źródła zapłonu), - EN 1021-2:2006 lub równoważna (metoda badania zapalności układu materiałów takich jak materiały pokryciowe i wypełnienia używane w siedziskach tapicerowanych wystawionych na działanie małego płomienia jako źródła zapłonu – równoważnik płomienia zapałki), - BS 5852:2006 lub równoważna (określa palność tkaniny: zapłon 0-5), - PN-EN 1021-1:2014 lub równoważna (ocena zapalności mebli tapicerowanych – źródło zapłonu – tlący papieros), - PN-EN 1021-2:2014 lub równoważna, - PN-B-02855:1988 lub równoważna (metoda badania wydzielania toksycznych produktów rozkładu i spalania materiałów), g) dokumenty dla W2 worek transformer i worek W3, potwierdzające zgodność produktu z wymogami normy: - BN EN 1021-1:2007 lub równoważna, h) dokumenty dla C1 Półki chmurki, potwierdzające zgodność produktu z wymogami normy: - PN-EN 71 europejska norma "Bezpieczeństwo zabawek" lub równoważna (podaje rodzaje materiałów, których stosowanie jest zabronione, przedstawia metody badań palności czy migracji toksycznych pierwiastków, a także określa metody badań fizycznych i mechanicznych właściwości zabawek).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 xml:space="preserve">III.7) INNE DOKUMENTY NIE WYMIENIONE W pkt III.3) - III.6)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1. W celu potwierdzenia braku podstaw wykluczenia Wykonawcy z udziału w postępowaniu, Wykonawca, w terminie 3 dni od dnia zamieszczenia na stronie internetowej informacji, o której mowa w art. 86 ust. 5, przekazuje zamawiającemu oświadczenie o przynależności lub braku przynależności do tej samej grupy kapitałowej, o której mowa w art. 24 ust. 1 pkt 23 ustawy </w:t>
      </w:r>
      <w:proofErr w:type="spellStart"/>
      <w:r w:rsidRPr="005D13DB">
        <w:rPr>
          <w:rFonts w:ascii="Times New Roman" w:eastAsia="Times New Roman" w:hAnsi="Times New Roman" w:cs="Times New Roman"/>
          <w:sz w:val="24"/>
          <w:szCs w:val="24"/>
          <w:lang w:eastAsia="pl-PL"/>
        </w:rPr>
        <w:t>Pzp</w:t>
      </w:r>
      <w:proofErr w:type="spellEnd"/>
      <w:r w:rsidRPr="005D13DB">
        <w:rPr>
          <w:rFonts w:ascii="Times New Roman" w:eastAsia="Times New Roman" w:hAnsi="Times New Roman" w:cs="Times New Roman"/>
          <w:sz w:val="24"/>
          <w:szCs w:val="24"/>
          <w:lang w:eastAsia="pl-PL"/>
        </w:rPr>
        <w:t xml:space="preserve">. Wraz ze złożeniem oświadczenia, Wykonawca może przedstawić dowody, że powiązania z innym Wykonawcą nie prowadzą do zakłócenia konkurencji w postępowaniu o udzielenie zamówienia. 2. Ofertę stanowi prawidłowo wypełniony i podpisany formularz „Oferta” wraz z formularzem asortymentowo - cenowym, stanowiącym zał. nr 1 i integralną część formularza "Oferta" oraz następujące załączniki: 1) Oświadczenia wymagane postanowieniami pkt 9.2 IDW; 2) Zobowiązania wymagane postanowieniami pkt 10.2. IDW, w przypadku gdy Wykonawca polega na zdolnościach innych podmiotów w celu potwierdzenia spełniania warunków udziału w postępowaniu. 3) Pełnomocnictwo do reprezentowania wszystkich Wykonawców wspólnie ubiegających się o udzielenie zamówienia, ewentualnie umowa o współdziałaniu, z której będzie wynikać przedmiotowe pełnomocnictwo. Pełnomocnik może być ustanowiony do reprezentowania Wykonawców w postępowaniu albo do reprezentowania w postępowaniu i zawarcia umowy. Pełnomocnictwo winno być załączone w formie oryginału lub notarialnie poświadczonej kopii. 4) Dokumenty, z których wynika prawo do podpisania oferty (oryginał lub kopia potwierdzona za zgodność z oryginałem przez notariusza) względnie do podpisania innych oświadczeń lub dokumentów składanych wraz z ofertą, chyba, że Zamawiający może je uzyskać w szczególności za pomocą bezpłatnych i ogólnodostępnych baz danych, w szczególności rejestrów publicznych w rozumieniu ustawy z dnia 17 lutego 2005 r. o informatyzacji działalności podmiotów realizujących zadania publiczne Dz. U. z 2014 poz. 1114 oraz z 2016 poz. 352), a Wykonawca wskazał to wraz ze złożeniem oferty; o ile prawo do ich podpisania nie wynika z dokumentów złożonych wraz z ofertą. 5) Oryginał gwarancji lub poręczenia, jeśli wadium wnoszone jest w innej formie niż pieniądz.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u w:val="single"/>
          <w:lang w:eastAsia="pl-PL"/>
        </w:rPr>
        <w:t xml:space="preserve">SEKCJA IV: PROCEDURA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 xml:space="preserve">IV.1) OPIS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IV.1.1) Tryb udzielenia zamówienia: </w:t>
      </w:r>
      <w:r w:rsidRPr="005D13DB">
        <w:rPr>
          <w:rFonts w:ascii="Times New Roman" w:eastAsia="Times New Roman" w:hAnsi="Times New Roman" w:cs="Times New Roman"/>
          <w:sz w:val="24"/>
          <w:szCs w:val="24"/>
          <w:lang w:eastAsia="pl-PL"/>
        </w:rPr>
        <w:t xml:space="preserve">Przetarg nieograniczony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IV.1.2) Zamawiający żąda wniesienia wadium:</w:t>
      </w:r>
      <w:r w:rsidRPr="005D13DB">
        <w:rPr>
          <w:rFonts w:ascii="Times New Roman" w:eastAsia="Times New Roman" w:hAnsi="Times New Roman" w:cs="Times New Roman"/>
          <w:sz w:val="24"/>
          <w:szCs w:val="24"/>
          <w:lang w:eastAsia="pl-PL"/>
        </w:rPr>
        <w:t xml:space="preserv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Tak </w:t>
      </w:r>
      <w:r w:rsidRPr="005D13DB">
        <w:rPr>
          <w:rFonts w:ascii="Times New Roman" w:eastAsia="Times New Roman" w:hAnsi="Times New Roman" w:cs="Times New Roman"/>
          <w:sz w:val="24"/>
          <w:szCs w:val="24"/>
          <w:lang w:eastAsia="pl-PL"/>
        </w:rPr>
        <w:br/>
        <w:t xml:space="preserve">Informacja na temat wadium </w:t>
      </w:r>
      <w:r w:rsidRPr="005D13DB">
        <w:rPr>
          <w:rFonts w:ascii="Times New Roman" w:eastAsia="Times New Roman" w:hAnsi="Times New Roman" w:cs="Times New Roman"/>
          <w:sz w:val="24"/>
          <w:szCs w:val="24"/>
          <w:lang w:eastAsia="pl-PL"/>
        </w:rPr>
        <w:br/>
        <w:t xml:space="preserve">16.1 Wysokość wadium (przepisy art. 45. PZP). Zamawiający ustalił wysokość wadium w kwocie 8.000,00 zł (słownie: osiem tysięcy złotych, 00/100). Wykonawca zobowiązany jest wnieść wadium przed upływem terminu składania ofert. 16.2. Forma wadium. Wadium może być wniesione w następujących formach: a) pieniądzu; b) poręczeniach bankowych lub poręczeniach spółdzielczej kasy oszczędnościowo-kredytowej, z tym że poręczenie kasy jest zawsze poręczeniem pieniężnym; c) gwarancjach bankowych; d) gwarancjach ubezpieczeniowych; e) poręczeniach udzielanych przez podmioty, o których mowa w art. 6b ust. 5 pkt 2 ustawy z dnia 9 listopada 2000 r. o utworzeniu Polskiej Agencji Rozwoju Przedsiębiorczości. W przypadku składania przez Wykonawcę wadium w formie gwarancji, gwarancja ma być, co najmniej gwarancją nieodwołalną i płatną na pierwsze pisemne żądanie Zamawiającego. 16.3. Miejsce i sposób wniesienia wadium: 16.3.1. Wadium wnoszone w pieniądzu należy wpłacić przelewem na rachunek bankowy na nr konta: 30 1090 1131 0000 0001 3400 2586 z dopiskiem WADIUM – „WYPOSAŻENIE NOWEJ SIEDZIBY BIBLIOTEKI W KAMIENICY PRZY UL. RYNEK 17 W JAROCINIE, dz. nr 1678” Zamawiający, wymaga by wadium wnoszone w innych formach niż w pieniądzu, a dopuszczonych do wniesienia zgodnie z ustawą </w:t>
      </w:r>
      <w:proofErr w:type="spellStart"/>
      <w:r w:rsidRPr="005D13DB">
        <w:rPr>
          <w:rFonts w:ascii="Times New Roman" w:eastAsia="Times New Roman" w:hAnsi="Times New Roman" w:cs="Times New Roman"/>
          <w:sz w:val="24"/>
          <w:szCs w:val="24"/>
          <w:lang w:eastAsia="pl-PL"/>
        </w:rPr>
        <w:t>Pzp</w:t>
      </w:r>
      <w:proofErr w:type="spellEnd"/>
      <w:r w:rsidRPr="005D13DB">
        <w:rPr>
          <w:rFonts w:ascii="Times New Roman" w:eastAsia="Times New Roman" w:hAnsi="Times New Roman" w:cs="Times New Roman"/>
          <w:sz w:val="24"/>
          <w:szCs w:val="24"/>
          <w:lang w:eastAsia="pl-PL"/>
        </w:rPr>
        <w:t xml:space="preserve">, było złożone w oryginale wraz z ofertą - przed upływem terminu składania ofert. Złożenie oryginału dokumentu potwierdzającego wniesienie wadium w innych formach niż pieniądz, o którym mowa w niniejszym punkcie jest wymagane jako warunek konieczny. 16.3.2. Zaleca się, by do oferty dołączyć kopię dokumentu potwierdzającego wniesienie wadium, tzn. potwierdzoną przez Wykonawcę za zgodność z oryginałem, kopię polecenia przelewu na konto Zamawiającego lub potwierdzoną przez Wykonawcę za zgodność z oryginałem, kopię dokumentu będącego każdą inną formą wadium dopuszczoną przez Zamawiającego. Załączenie w/w kopii do oferty, o których mowa w niniejszym punkcie jest pożądane, lecz nie jest to warunek konieczny. 16.4. Termin wniesienia wadium </w:t>
      </w:r>
      <w:proofErr w:type="spellStart"/>
      <w:r w:rsidRPr="005D13DB">
        <w:rPr>
          <w:rFonts w:ascii="Times New Roman" w:eastAsia="Times New Roman" w:hAnsi="Times New Roman" w:cs="Times New Roman"/>
          <w:sz w:val="24"/>
          <w:szCs w:val="24"/>
          <w:lang w:eastAsia="pl-PL"/>
        </w:rPr>
        <w:t>Wadium</w:t>
      </w:r>
      <w:proofErr w:type="spellEnd"/>
      <w:r w:rsidRPr="005D13DB">
        <w:rPr>
          <w:rFonts w:ascii="Times New Roman" w:eastAsia="Times New Roman" w:hAnsi="Times New Roman" w:cs="Times New Roman"/>
          <w:sz w:val="24"/>
          <w:szCs w:val="24"/>
          <w:lang w:eastAsia="pl-PL"/>
        </w:rPr>
        <w:t xml:space="preserve"> należy wnieść przed upływem terminu składania ofert, przy czym wniesienie wadium w pieniądzu za pomocą przelewu bankowego Zamawiający będzie uważał za skuteczne tylko wówczas, gdy bank prowadzący rachunek Zamawiającego potwierdzi, że otrzymał taki przelew przed upływem terminu składania ofert. 16.5. Zwrot wadium 16.5.1. Zamawiający zwraca wadium wszystkim Wykonawcom niezwłocznie po wyborze oferty najkorzystniejszej lub unieważnieniu postępowania, z wyjątkiem Wykonawcy, którego oferta została wybrana jako najkorzystniejsza. 16.5.2. Wykonawcy, którego oferta została wybrana jako najkorzystniejsza, Zamawiający zwraca wadium niezwłocznie po zawarciu umowy w sprawie zamówienia publicznego oraz wniesieniu zabezpieczenia należytego wykonania umowy. 16.5.3. Zamawiający zwraca niezwłocznie wadium na wniosek Wykonawcy, który wycofał ofertę przed upływem terminu składania ofert. 16.5.4. Zamawiający żąda ponownego wniesienia wadium przez Wykonawcę, któremu zwrócono wadium w przypadku, o którym mowa w pkt. 16.5.1, jeżeli w wyniku rozstrzygnięcia odwołania jego oferta została wybrana jako najkorzystniejsza. Wykonawca wnosi wadium w terminie określonym przez Zamawiającego. 16.5.5. W pozostałych sprawach dotyczących zwrotu wadium, nieuregulowanych w niniejszym dziale SIWZ, mają zastosowanie przepisy ustawy </w:t>
      </w:r>
      <w:proofErr w:type="spellStart"/>
      <w:r w:rsidRPr="005D13DB">
        <w:rPr>
          <w:rFonts w:ascii="Times New Roman" w:eastAsia="Times New Roman" w:hAnsi="Times New Roman" w:cs="Times New Roman"/>
          <w:sz w:val="24"/>
          <w:szCs w:val="24"/>
          <w:lang w:eastAsia="pl-PL"/>
        </w:rPr>
        <w:t>Pzp</w:t>
      </w:r>
      <w:proofErr w:type="spellEnd"/>
      <w:r w:rsidRPr="005D13DB">
        <w:rPr>
          <w:rFonts w:ascii="Times New Roman" w:eastAsia="Times New Roman" w:hAnsi="Times New Roman" w:cs="Times New Roman"/>
          <w:sz w:val="24"/>
          <w:szCs w:val="24"/>
          <w:lang w:eastAsia="pl-PL"/>
        </w:rPr>
        <w:t xml:space="preserve">. 16.6. Utrata wadium 16.6.1. Zamawiający zatrzymuje wadium wraz z odsetkami, jeżeli Wykonawca w odpowiedzi na wezwanie, o którym mowa w art. 26 ust. 3 i 3a ustawy </w:t>
      </w:r>
      <w:proofErr w:type="spellStart"/>
      <w:r w:rsidRPr="005D13DB">
        <w:rPr>
          <w:rFonts w:ascii="Times New Roman" w:eastAsia="Times New Roman" w:hAnsi="Times New Roman" w:cs="Times New Roman"/>
          <w:sz w:val="24"/>
          <w:szCs w:val="24"/>
          <w:lang w:eastAsia="pl-PL"/>
        </w:rPr>
        <w:t>Pzp</w:t>
      </w:r>
      <w:proofErr w:type="spellEnd"/>
      <w:r w:rsidRPr="005D13DB">
        <w:rPr>
          <w:rFonts w:ascii="Times New Roman" w:eastAsia="Times New Roman" w:hAnsi="Times New Roman" w:cs="Times New Roman"/>
          <w:sz w:val="24"/>
          <w:szCs w:val="24"/>
          <w:lang w:eastAsia="pl-PL"/>
        </w:rPr>
        <w:t xml:space="preserve">, z przyczyn leżących po jego stronie, nie złożył oświadczeń lub dokumentów potwierdzających okoliczności, o których mowa w art. 25 ust. 1 ustawy </w:t>
      </w:r>
      <w:proofErr w:type="spellStart"/>
      <w:r w:rsidRPr="005D13DB">
        <w:rPr>
          <w:rFonts w:ascii="Times New Roman" w:eastAsia="Times New Roman" w:hAnsi="Times New Roman" w:cs="Times New Roman"/>
          <w:sz w:val="24"/>
          <w:szCs w:val="24"/>
          <w:lang w:eastAsia="pl-PL"/>
        </w:rPr>
        <w:t>Pzp</w:t>
      </w:r>
      <w:proofErr w:type="spellEnd"/>
      <w:r w:rsidRPr="005D13DB">
        <w:rPr>
          <w:rFonts w:ascii="Times New Roman" w:eastAsia="Times New Roman" w:hAnsi="Times New Roman" w:cs="Times New Roman"/>
          <w:sz w:val="24"/>
          <w:szCs w:val="24"/>
          <w:lang w:eastAsia="pl-PL"/>
        </w:rPr>
        <w:t xml:space="preserve">, oświadczenia, o którym mowa w art. 25a ust. 1 ustawy </w:t>
      </w:r>
      <w:proofErr w:type="spellStart"/>
      <w:r w:rsidRPr="005D13DB">
        <w:rPr>
          <w:rFonts w:ascii="Times New Roman" w:eastAsia="Times New Roman" w:hAnsi="Times New Roman" w:cs="Times New Roman"/>
          <w:sz w:val="24"/>
          <w:szCs w:val="24"/>
          <w:lang w:eastAsia="pl-PL"/>
        </w:rPr>
        <w:t>Pzp</w:t>
      </w:r>
      <w:proofErr w:type="spellEnd"/>
      <w:r w:rsidRPr="005D13DB">
        <w:rPr>
          <w:rFonts w:ascii="Times New Roman" w:eastAsia="Times New Roman" w:hAnsi="Times New Roman" w:cs="Times New Roman"/>
          <w:sz w:val="24"/>
          <w:szCs w:val="24"/>
          <w:lang w:eastAsia="pl-PL"/>
        </w:rPr>
        <w:t xml:space="preserve">, pełnomocnictw lub nie wyraził zgody na poprawienie omyłki, o której mowa w art. 87 ust. 2 pkt 3 ustawy </w:t>
      </w:r>
      <w:proofErr w:type="spellStart"/>
      <w:r w:rsidRPr="005D13DB">
        <w:rPr>
          <w:rFonts w:ascii="Times New Roman" w:eastAsia="Times New Roman" w:hAnsi="Times New Roman" w:cs="Times New Roman"/>
          <w:sz w:val="24"/>
          <w:szCs w:val="24"/>
          <w:lang w:eastAsia="pl-PL"/>
        </w:rPr>
        <w:t>Pzp</w:t>
      </w:r>
      <w:proofErr w:type="spellEnd"/>
      <w:r w:rsidRPr="005D13DB">
        <w:rPr>
          <w:rFonts w:ascii="Times New Roman" w:eastAsia="Times New Roman" w:hAnsi="Times New Roman" w:cs="Times New Roman"/>
          <w:sz w:val="24"/>
          <w:szCs w:val="24"/>
          <w:lang w:eastAsia="pl-PL"/>
        </w:rPr>
        <w:t xml:space="preserve">, co spowodowało brak możliwości wybrania oferty złożonej przez Wykonawcę jako najkorzystniejszej. 16.6.2. Zamawiający zatrzymuje wadium wraz z odsetkami, jeżeli Wykonawca, którego oferta została wybrana: a) odmówił podpisania umowy w sprawie zamówienia publicznego na warunkach określonych w ofercie; b) nie wniósł wymaganego zabezpieczenia należytego wykonania umowy; c) zawarcie umowy w sprawie zamówienia publicznego stało się niemożliwe z przyczyn leżących po stronie Wykonawcy.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IV.1.3) Przewiduje się udzielenie zaliczek na poczet wykonania zamówienia:</w:t>
      </w:r>
      <w:r w:rsidRPr="005D13DB">
        <w:rPr>
          <w:rFonts w:ascii="Times New Roman" w:eastAsia="Times New Roman" w:hAnsi="Times New Roman" w:cs="Times New Roman"/>
          <w:sz w:val="24"/>
          <w:szCs w:val="24"/>
          <w:lang w:eastAsia="pl-PL"/>
        </w:rPr>
        <w:t xml:space="preserv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Nie </w:t>
      </w:r>
      <w:r w:rsidRPr="005D13DB">
        <w:rPr>
          <w:rFonts w:ascii="Times New Roman" w:eastAsia="Times New Roman" w:hAnsi="Times New Roman" w:cs="Times New Roman"/>
          <w:sz w:val="24"/>
          <w:szCs w:val="24"/>
          <w:lang w:eastAsia="pl-PL"/>
        </w:rPr>
        <w:br/>
        <w:t xml:space="preserve">Należy podać informacje na temat udzielania zaliczek: </w:t>
      </w:r>
      <w:r w:rsidRPr="005D13DB">
        <w:rPr>
          <w:rFonts w:ascii="Times New Roman" w:eastAsia="Times New Roman" w:hAnsi="Times New Roman" w:cs="Times New Roman"/>
          <w:sz w:val="24"/>
          <w:szCs w:val="24"/>
          <w:lang w:eastAsia="pl-PL"/>
        </w:rPr>
        <w:br/>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Nie </w:t>
      </w:r>
      <w:r w:rsidRPr="005D13DB">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5D13DB">
        <w:rPr>
          <w:rFonts w:ascii="Times New Roman" w:eastAsia="Times New Roman" w:hAnsi="Times New Roman" w:cs="Times New Roman"/>
          <w:sz w:val="24"/>
          <w:szCs w:val="24"/>
          <w:lang w:eastAsia="pl-PL"/>
        </w:rPr>
        <w:br/>
        <w:t xml:space="preserve">Nie </w:t>
      </w:r>
      <w:r w:rsidRPr="005D13DB">
        <w:rPr>
          <w:rFonts w:ascii="Times New Roman" w:eastAsia="Times New Roman" w:hAnsi="Times New Roman" w:cs="Times New Roman"/>
          <w:sz w:val="24"/>
          <w:szCs w:val="24"/>
          <w:lang w:eastAsia="pl-PL"/>
        </w:rPr>
        <w:br/>
        <w:t xml:space="preserve">Informacje dodatkowe: </w:t>
      </w:r>
      <w:r w:rsidRPr="005D13DB">
        <w:rPr>
          <w:rFonts w:ascii="Times New Roman" w:eastAsia="Times New Roman" w:hAnsi="Times New Roman" w:cs="Times New Roman"/>
          <w:sz w:val="24"/>
          <w:szCs w:val="24"/>
          <w:lang w:eastAsia="pl-PL"/>
        </w:rPr>
        <w:br/>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IV.1.5.) Wymaga się złożenia oferty wariantowej: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Nie </w:t>
      </w:r>
      <w:r w:rsidRPr="005D13DB">
        <w:rPr>
          <w:rFonts w:ascii="Times New Roman" w:eastAsia="Times New Roman" w:hAnsi="Times New Roman" w:cs="Times New Roman"/>
          <w:sz w:val="24"/>
          <w:szCs w:val="24"/>
          <w:lang w:eastAsia="pl-PL"/>
        </w:rPr>
        <w:br/>
        <w:t xml:space="preserve">Dopuszcza się złożenie oferty wariantowej </w:t>
      </w:r>
      <w:r w:rsidRPr="005D13DB">
        <w:rPr>
          <w:rFonts w:ascii="Times New Roman" w:eastAsia="Times New Roman" w:hAnsi="Times New Roman" w:cs="Times New Roman"/>
          <w:sz w:val="24"/>
          <w:szCs w:val="24"/>
          <w:lang w:eastAsia="pl-PL"/>
        </w:rPr>
        <w:br/>
        <w:t xml:space="preserve">Nie </w:t>
      </w:r>
      <w:r w:rsidRPr="005D13DB">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5D13DB">
        <w:rPr>
          <w:rFonts w:ascii="Times New Roman" w:eastAsia="Times New Roman" w:hAnsi="Times New Roman" w:cs="Times New Roman"/>
          <w:sz w:val="24"/>
          <w:szCs w:val="24"/>
          <w:lang w:eastAsia="pl-PL"/>
        </w:rPr>
        <w:br/>
        <w:t xml:space="preserve">Nie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Liczba wykonawców   </w:t>
      </w:r>
      <w:r w:rsidRPr="005D13DB">
        <w:rPr>
          <w:rFonts w:ascii="Times New Roman" w:eastAsia="Times New Roman" w:hAnsi="Times New Roman" w:cs="Times New Roman"/>
          <w:sz w:val="24"/>
          <w:szCs w:val="24"/>
          <w:lang w:eastAsia="pl-PL"/>
        </w:rPr>
        <w:br/>
        <w:t xml:space="preserve">Przewidywana minimalna liczba wykonawców </w:t>
      </w:r>
      <w:r w:rsidRPr="005D13DB">
        <w:rPr>
          <w:rFonts w:ascii="Times New Roman" w:eastAsia="Times New Roman" w:hAnsi="Times New Roman" w:cs="Times New Roman"/>
          <w:sz w:val="24"/>
          <w:szCs w:val="24"/>
          <w:lang w:eastAsia="pl-PL"/>
        </w:rPr>
        <w:br/>
        <w:t xml:space="preserve">Maksymalna liczba wykonawców   </w:t>
      </w:r>
      <w:r w:rsidRPr="005D13DB">
        <w:rPr>
          <w:rFonts w:ascii="Times New Roman" w:eastAsia="Times New Roman" w:hAnsi="Times New Roman" w:cs="Times New Roman"/>
          <w:sz w:val="24"/>
          <w:szCs w:val="24"/>
          <w:lang w:eastAsia="pl-PL"/>
        </w:rPr>
        <w:br/>
        <w:t xml:space="preserve">Kryteria selekcji wykonawców: </w:t>
      </w:r>
      <w:r w:rsidRPr="005D13DB">
        <w:rPr>
          <w:rFonts w:ascii="Times New Roman" w:eastAsia="Times New Roman" w:hAnsi="Times New Roman" w:cs="Times New Roman"/>
          <w:sz w:val="24"/>
          <w:szCs w:val="24"/>
          <w:lang w:eastAsia="pl-PL"/>
        </w:rPr>
        <w:br/>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IV.1.7) Informacje na temat umowy ramowej lub dynamicznego systemu zakupów: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Umowa ramowa będzie zawarta: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t xml:space="preserve">Czy przewiduje się ograniczenie liczby uczestników umowy ramowej: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t xml:space="preserve">Przewidziana maksymalna liczba uczestników umowy ramowej: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t xml:space="preserve">Informacje dodatkowe: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t xml:space="preserve">Zamówienie obejmuje ustanowienie dynamicznego systemu zakupów: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t xml:space="preserve">Informacje dodatkowe: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5D13DB">
        <w:rPr>
          <w:rFonts w:ascii="Times New Roman" w:eastAsia="Times New Roman" w:hAnsi="Times New Roman" w:cs="Times New Roman"/>
          <w:sz w:val="24"/>
          <w:szCs w:val="24"/>
          <w:lang w:eastAsia="pl-PL"/>
        </w:rPr>
        <w:br/>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IV.1.8) Aukcja elektroniczna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Przewidziane jest przeprowadzenie aukcji elektronicznej </w:t>
      </w:r>
      <w:r w:rsidRPr="005D13DB">
        <w:rPr>
          <w:rFonts w:ascii="Times New Roman" w:eastAsia="Times New Roman" w:hAnsi="Times New Roman" w:cs="Times New Roman"/>
          <w:i/>
          <w:iCs/>
          <w:sz w:val="24"/>
          <w:szCs w:val="24"/>
          <w:lang w:eastAsia="pl-PL"/>
        </w:rPr>
        <w:t xml:space="preserve">(przetarg nieograniczony, przetarg ograniczony, negocjacje z ogłoszeniem) </w:t>
      </w:r>
      <w:r w:rsidRPr="005D13DB">
        <w:rPr>
          <w:rFonts w:ascii="Times New Roman" w:eastAsia="Times New Roman" w:hAnsi="Times New Roman" w:cs="Times New Roman"/>
          <w:sz w:val="24"/>
          <w:szCs w:val="24"/>
          <w:lang w:eastAsia="pl-PL"/>
        </w:rPr>
        <w:t xml:space="preserve">Nie </w:t>
      </w:r>
      <w:r w:rsidRPr="005D13DB">
        <w:rPr>
          <w:rFonts w:ascii="Times New Roman" w:eastAsia="Times New Roman" w:hAnsi="Times New Roman" w:cs="Times New Roman"/>
          <w:sz w:val="24"/>
          <w:szCs w:val="24"/>
          <w:lang w:eastAsia="pl-PL"/>
        </w:rPr>
        <w:br/>
        <w:t xml:space="preserve">Należy podać adres strony internetowej, na której aukcja będzie prowadzona: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5D13DB">
        <w:rPr>
          <w:rFonts w:ascii="Times New Roman" w:eastAsia="Times New Roman" w:hAnsi="Times New Roman" w:cs="Times New Roman"/>
          <w:sz w:val="24"/>
          <w:szCs w:val="24"/>
          <w:lang w:eastAsia="pl-PL"/>
        </w:rPr>
        <w:br/>
        <w:t xml:space="preserve">Informacje dotyczące przebiegu aukcji elektronicznej: </w:t>
      </w:r>
      <w:r w:rsidRPr="005D13DB">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5D13DB">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5D13DB">
        <w:rPr>
          <w:rFonts w:ascii="Times New Roman" w:eastAsia="Times New Roman" w:hAnsi="Times New Roman" w:cs="Times New Roman"/>
          <w:sz w:val="24"/>
          <w:szCs w:val="24"/>
          <w:lang w:eastAsia="pl-PL"/>
        </w:rPr>
        <w:br/>
        <w:t xml:space="preserve">Wymagania dotyczące rejestracji i identyfikacji wykonawców w aukcji elektronicznej: </w:t>
      </w:r>
      <w:r w:rsidRPr="005D13DB">
        <w:rPr>
          <w:rFonts w:ascii="Times New Roman" w:eastAsia="Times New Roman" w:hAnsi="Times New Roman" w:cs="Times New Roman"/>
          <w:sz w:val="24"/>
          <w:szCs w:val="24"/>
          <w:lang w:eastAsia="pl-PL"/>
        </w:rPr>
        <w:br/>
        <w:t xml:space="preserve">Informacje o liczbie etapów aukcji elektronicznej i czasie ich trwania: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t xml:space="preserve">Czas trwania: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5D13DB">
        <w:rPr>
          <w:rFonts w:ascii="Times New Roman" w:eastAsia="Times New Roman" w:hAnsi="Times New Roman" w:cs="Times New Roman"/>
          <w:sz w:val="24"/>
          <w:szCs w:val="24"/>
          <w:lang w:eastAsia="pl-PL"/>
        </w:rPr>
        <w:br/>
        <w:t xml:space="preserve">Warunki zamknięcia aukcji elektronicznej: </w:t>
      </w:r>
      <w:r w:rsidRPr="005D13DB">
        <w:rPr>
          <w:rFonts w:ascii="Times New Roman" w:eastAsia="Times New Roman" w:hAnsi="Times New Roman" w:cs="Times New Roman"/>
          <w:sz w:val="24"/>
          <w:szCs w:val="24"/>
          <w:lang w:eastAsia="pl-PL"/>
        </w:rPr>
        <w:br/>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IV.2) KRYTERIA OCENY OFERT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IV.2.1) Kryteria oceny ofert: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IV.2.2) Kryteria</w:t>
      </w:r>
      <w:r w:rsidRPr="005D13DB">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3476"/>
        <w:gridCol w:w="1016"/>
      </w:tblGrid>
      <w:tr w:rsidR="005D13DB" w:rsidRPr="005D13DB" w:rsidTr="005D13DB">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Znaczenie</w:t>
            </w:r>
          </w:p>
        </w:tc>
      </w:tr>
      <w:tr w:rsidR="005D13DB" w:rsidRPr="005D13DB" w:rsidTr="005D13DB">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Cena – „C”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60,00</w:t>
            </w:r>
          </w:p>
        </w:tc>
      </w:tr>
      <w:tr w:rsidR="005D13DB" w:rsidRPr="005D13DB" w:rsidTr="005D13DB">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Gwarancja jakości i rękojmia – „G”</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40,00</w:t>
            </w:r>
          </w:p>
        </w:tc>
      </w:tr>
    </w:tbl>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5D13DB">
        <w:rPr>
          <w:rFonts w:ascii="Times New Roman" w:eastAsia="Times New Roman" w:hAnsi="Times New Roman" w:cs="Times New Roman"/>
          <w:b/>
          <w:bCs/>
          <w:sz w:val="24"/>
          <w:szCs w:val="24"/>
          <w:lang w:eastAsia="pl-PL"/>
        </w:rPr>
        <w:t>Pzp</w:t>
      </w:r>
      <w:proofErr w:type="spellEnd"/>
      <w:r w:rsidRPr="005D13DB">
        <w:rPr>
          <w:rFonts w:ascii="Times New Roman" w:eastAsia="Times New Roman" w:hAnsi="Times New Roman" w:cs="Times New Roman"/>
          <w:b/>
          <w:bCs/>
          <w:sz w:val="24"/>
          <w:szCs w:val="24"/>
          <w:lang w:eastAsia="pl-PL"/>
        </w:rPr>
        <w:t xml:space="preserve"> </w:t>
      </w:r>
      <w:r w:rsidRPr="005D13DB">
        <w:rPr>
          <w:rFonts w:ascii="Times New Roman" w:eastAsia="Times New Roman" w:hAnsi="Times New Roman" w:cs="Times New Roman"/>
          <w:sz w:val="24"/>
          <w:szCs w:val="24"/>
          <w:lang w:eastAsia="pl-PL"/>
        </w:rPr>
        <w:t xml:space="preserve">(przetarg nieograniczony) </w:t>
      </w:r>
      <w:r w:rsidRPr="005D13DB">
        <w:rPr>
          <w:rFonts w:ascii="Times New Roman" w:eastAsia="Times New Roman" w:hAnsi="Times New Roman" w:cs="Times New Roman"/>
          <w:sz w:val="24"/>
          <w:szCs w:val="24"/>
          <w:lang w:eastAsia="pl-PL"/>
        </w:rPr>
        <w:br/>
        <w:t xml:space="preserve">Tak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IV.3) Negocjacje z ogłoszeniem, dialog konkurencyjny, partnerstwo innowacyjne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IV.3.1) Informacje na temat negocjacji z ogłoszeniem</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t xml:space="preserve">Minimalne wymagania, które muszą spełniać wszystkie oferty: </w:t>
      </w:r>
      <w:r w:rsidRPr="005D13DB">
        <w:rPr>
          <w:rFonts w:ascii="Times New Roman" w:eastAsia="Times New Roman" w:hAnsi="Times New Roman" w:cs="Times New Roman"/>
          <w:sz w:val="24"/>
          <w:szCs w:val="24"/>
          <w:lang w:eastAsia="pl-PL"/>
        </w:rPr>
        <w:br/>
        <w:t xml:space="preserve">Nie dotyczy </w:t>
      </w:r>
      <w:r w:rsidRPr="005D13DB">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5D13DB">
        <w:rPr>
          <w:rFonts w:ascii="Times New Roman" w:eastAsia="Times New Roman" w:hAnsi="Times New Roman" w:cs="Times New Roman"/>
          <w:sz w:val="24"/>
          <w:szCs w:val="24"/>
          <w:lang w:eastAsia="pl-PL"/>
        </w:rPr>
        <w:br/>
        <w:t xml:space="preserve">Przewidziany jest podział negocjacji na etapy w celu ograniczenia liczby ofert: </w:t>
      </w:r>
      <w:r w:rsidRPr="005D13DB">
        <w:rPr>
          <w:rFonts w:ascii="Times New Roman" w:eastAsia="Times New Roman" w:hAnsi="Times New Roman" w:cs="Times New Roman"/>
          <w:sz w:val="24"/>
          <w:szCs w:val="24"/>
          <w:lang w:eastAsia="pl-PL"/>
        </w:rPr>
        <w:br/>
        <w:t xml:space="preserve">Należy podać informacje na temat etapów negocjacji (w tym liczbę etapów):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t xml:space="preserve">Informacje dodatkowe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IV.3.2) Informacje na temat dialogu konkurencyjnego</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t xml:space="preserve">Opis potrzeb i wymagań zamawiającego lub informacja o sposobie uzyskania tego opisu: </w:t>
      </w:r>
      <w:r w:rsidRPr="005D13DB">
        <w:rPr>
          <w:rFonts w:ascii="Times New Roman" w:eastAsia="Times New Roman" w:hAnsi="Times New Roman" w:cs="Times New Roman"/>
          <w:sz w:val="24"/>
          <w:szCs w:val="24"/>
          <w:lang w:eastAsia="pl-PL"/>
        </w:rPr>
        <w:br/>
        <w:t xml:space="preserve">Nie dotyczy </w:t>
      </w:r>
      <w:r w:rsidRPr="005D13DB">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t xml:space="preserve">Wstępny harmonogram postępowania: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t xml:space="preserve">Podział dialogu na etapy w celu ograniczenia liczby rozwiązań: </w:t>
      </w:r>
      <w:r w:rsidRPr="005D13DB">
        <w:rPr>
          <w:rFonts w:ascii="Times New Roman" w:eastAsia="Times New Roman" w:hAnsi="Times New Roman" w:cs="Times New Roman"/>
          <w:sz w:val="24"/>
          <w:szCs w:val="24"/>
          <w:lang w:eastAsia="pl-PL"/>
        </w:rPr>
        <w:br/>
        <w:t xml:space="preserve">Należy podać informacje na temat etapów dialogu: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t xml:space="preserve">Informacje dodatkowe: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IV.3.3) Informacje na temat partnerstwa innowacyjnego</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5D13DB">
        <w:rPr>
          <w:rFonts w:ascii="Times New Roman" w:eastAsia="Times New Roman" w:hAnsi="Times New Roman" w:cs="Times New Roman"/>
          <w:sz w:val="24"/>
          <w:szCs w:val="24"/>
          <w:lang w:eastAsia="pl-PL"/>
        </w:rPr>
        <w:br/>
        <w:t xml:space="preserve">Nie dotyczy </w:t>
      </w:r>
      <w:r w:rsidRPr="005D13DB">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t xml:space="preserve">Informacje dodatkowe: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IV.4) Licytacja elektroniczna </w:t>
      </w:r>
      <w:r w:rsidRPr="005D13DB">
        <w:rPr>
          <w:rFonts w:ascii="Times New Roman" w:eastAsia="Times New Roman" w:hAnsi="Times New Roman" w:cs="Times New Roman"/>
          <w:sz w:val="24"/>
          <w:szCs w:val="24"/>
          <w:lang w:eastAsia="pl-PL"/>
        </w:rPr>
        <w:br/>
        <w:t xml:space="preserve">Adres strony internetowej, na której będzie prowadzona licytacja elektroniczna: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Nie dotyczy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Informacje o liczbie etapów licytacji elektronicznej i czasie ich trwania: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Czas trwania: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Termin składania wniosków o dopuszczenie do udziału w licytacji elektronicznej: </w:t>
      </w:r>
      <w:r w:rsidRPr="005D13DB">
        <w:rPr>
          <w:rFonts w:ascii="Times New Roman" w:eastAsia="Times New Roman" w:hAnsi="Times New Roman" w:cs="Times New Roman"/>
          <w:sz w:val="24"/>
          <w:szCs w:val="24"/>
          <w:lang w:eastAsia="pl-PL"/>
        </w:rPr>
        <w:br/>
        <w:t xml:space="preserve">Data: godzina: </w:t>
      </w:r>
      <w:r w:rsidRPr="005D13DB">
        <w:rPr>
          <w:rFonts w:ascii="Times New Roman" w:eastAsia="Times New Roman" w:hAnsi="Times New Roman" w:cs="Times New Roman"/>
          <w:sz w:val="24"/>
          <w:szCs w:val="24"/>
          <w:lang w:eastAsia="pl-PL"/>
        </w:rPr>
        <w:br/>
        <w:t xml:space="preserve">Termin otwarcia licytacji elektronicznej: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t xml:space="preserve">Termin i warunki zamknięcia licytacji elektronicznej: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t xml:space="preserve">Wymagania dotyczące zabezpieczenia należytego wykonania umowy: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lang w:eastAsia="pl-PL"/>
        </w:rPr>
        <w:br/>
        <w:t xml:space="preserve">Informacje dodatkowe: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r w:rsidRPr="005D13DB">
        <w:rPr>
          <w:rFonts w:ascii="Times New Roman" w:eastAsia="Times New Roman" w:hAnsi="Times New Roman" w:cs="Times New Roman"/>
          <w:b/>
          <w:bCs/>
          <w:sz w:val="24"/>
          <w:szCs w:val="24"/>
          <w:lang w:eastAsia="pl-PL"/>
        </w:rPr>
        <w:t>IV.5) ZMIANA UMOWY</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5D13DB">
        <w:rPr>
          <w:rFonts w:ascii="Times New Roman" w:eastAsia="Times New Roman" w:hAnsi="Times New Roman" w:cs="Times New Roman"/>
          <w:sz w:val="24"/>
          <w:szCs w:val="24"/>
          <w:lang w:eastAsia="pl-PL"/>
        </w:rPr>
        <w:t xml:space="preserve"> Tak </w:t>
      </w:r>
      <w:r w:rsidRPr="005D13DB">
        <w:rPr>
          <w:rFonts w:ascii="Times New Roman" w:eastAsia="Times New Roman" w:hAnsi="Times New Roman" w:cs="Times New Roman"/>
          <w:sz w:val="24"/>
          <w:szCs w:val="24"/>
          <w:lang w:eastAsia="pl-PL"/>
        </w:rPr>
        <w:br/>
        <w:t xml:space="preserve">Należy wskazać zakres, charakter zmian oraz warunki wprowadzenia zmian: </w:t>
      </w:r>
      <w:r w:rsidRPr="005D13DB">
        <w:rPr>
          <w:rFonts w:ascii="Times New Roman" w:eastAsia="Times New Roman" w:hAnsi="Times New Roman" w:cs="Times New Roman"/>
          <w:sz w:val="24"/>
          <w:szCs w:val="24"/>
          <w:lang w:eastAsia="pl-PL"/>
        </w:rPr>
        <w:br/>
        <w:t xml:space="preserve">1. Strony przewidują możliwość dokonywania zmian w Umowie. Zmiana Umowy dopuszczalna będzie w granicach wyznaczonych przepisami ustawy </w:t>
      </w:r>
      <w:proofErr w:type="spellStart"/>
      <w:r w:rsidRPr="005D13DB">
        <w:rPr>
          <w:rFonts w:ascii="Times New Roman" w:eastAsia="Times New Roman" w:hAnsi="Times New Roman" w:cs="Times New Roman"/>
          <w:sz w:val="24"/>
          <w:szCs w:val="24"/>
          <w:lang w:eastAsia="pl-PL"/>
        </w:rPr>
        <w:t>Pzp</w:t>
      </w:r>
      <w:proofErr w:type="spellEnd"/>
      <w:r w:rsidRPr="005D13DB">
        <w:rPr>
          <w:rFonts w:ascii="Times New Roman" w:eastAsia="Times New Roman" w:hAnsi="Times New Roman" w:cs="Times New Roman"/>
          <w:sz w:val="24"/>
          <w:szCs w:val="24"/>
          <w:lang w:eastAsia="pl-PL"/>
        </w:rPr>
        <w:t xml:space="preserve">, w tym art. 144 ust. 1 ustawy Prawo zamówień publicznych oraz określonych w niniejszej umowie, jak również przewidzianych w specyfikacji istotnych warunków zamówienia. 2. Poza przypadkami określonymi w punkcie poprzedzającym, zmiany Umowy będą mogły dotyczyć: 1) Terminu ustalonego w § 2, ust. 1 niniejszej umowy, który ulegnie przesunięciu w przypadku wystąpienia opóźnień wynikających z: a. przestojów i opóźnień leżących po stronie Zamawiającego, b. zmiany terminu oddania do użytkowania Zamawiającemu budynku „Kamienica kultury” – filii nr 1 Biblioteki Publicznej Miasta i Gminy Jarocin, Rynek 17, 63-200 Jarocin. c. działania siły wyższej (na przykład klęski żywiołowe, strajki generalne lub lokalne), mającej bezpośredni wpływ na termin wykonania robót, d. wystąpienia okoliczności, których strony umowy nie były w stanie przewidzieć, pomimo zachowania należytej staranności. 2) Sposób rozliczania umowy lub dokonywania płatności na rzecz Wykonawcy może uleć zmianie na skutek zmian zawartej przez Zamawiającego umowy o dofinansowanie projektu lub wytycznych dotyczących realizacji zamówienia. 3) Parametry techniczne sprzętu lub urządzeń określonych w Formularzu asortymentowo-cenowym mogą ulec zmianie w przypadku gdy w trakcie realizacji umowy okaże się, że zaproponowane w ofercie urządzenia lub sprzęt nie jest już dostępny na rynku. Warunkiem zaakceptowania takiej zmiany jest wykazanie przez Wykonawcę, że produkt zamienny posiada parametry nie gorsze niż produkt pierwotnie zaproponowany. Zmiana umowy w powyższym zakresie nie może powodować podwyższenia wynagrodzenia Wykonawcy. Przedmiotowe zmiany opisane w niniejszym ustępie mogą zostać wprowadzone jedynie w zakresie w jakim nie są one sprzeczne z przepisami prawa zamówień publicznych. 3. Opóźnienia, o których mowa w ust. 2 pkt 1) muszą być udokumentowane stosownymi protokołami podpisanymi. 4. W przypadkach, o których mowa w ust. 2 pkt 1), Strony ustalą nowe terminy, z tym że maksymalny okres przesunięcia terminu zakończenia realizacji przedmiotu umowy równy będzie okresowi przestojów lub opóźnień.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IV.6) INFORMACJE ADMINISTRACYJNE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IV.6.1) Sposób udostępniania informacji o charakterze poufnym </w:t>
      </w:r>
      <w:r w:rsidRPr="005D13DB">
        <w:rPr>
          <w:rFonts w:ascii="Times New Roman" w:eastAsia="Times New Roman" w:hAnsi="Times New Roman" w:cs="Times New Roman"/>
          <w:i/>
          <w:iCs/>
          <w:sz w:val="24"/>
          <w:szCs w:val="24"/>
          <w:lang w:eastAsia="pl-PL"/>
        </w:rPr>
        <w:t xml:space="preserve">(jeżeli dotyczy): </w:t>
      </w:r>
      <w:r w:rsidRPr="005D13DB">
        <w:rPr>
          <w:rFonts w:ascii="Times New Roman" w:eastAsia="Times New Roman" w:hAnsi="Times New Roman" w:cs="Times New Roman"/>
          <w:sz w:val="24"/>
          <w:szCs w:val="24"/>
          <w:lang w:eastAsia="pl-PL"/>
        </w:rPr>
        <w:br/>
        <w:t xml:space="preserve">Nie dotyczy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Środki służące ochronie informacji o charakterze poufnym</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t xml:space="preserve">Nie dotyczy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5D13DB">
        <w:rPr>
          <w:rFonts w:ascii="Times New Roman" w:eastAsia="Times New Roman" w:hAnsi="Times New Roman" w:cs="Times New Roman"/>
          <w:sz w:val="24"/>
          <w:szCs w:val="24"/>
          <w:lang w:eastAsia="pl-PL"/>
        </w:rPr>
        <w:br/>
        <w:t xml:space="preserve">Data: 2019-06-25, godzina: 11:00, </w:t>
      </w:r>
      <w:r w:rsidRPr="005D13DB">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5D13DB">
        <w:rPr>
          <w:rFonts w:ascii="Times New Roman" w:eastAsia="Times New Roman" w:hAnsi="Times New Roman" w:cs="Times New Roman"/>
          <w:sz w:val="24"/>
          <w:szCs w:val="24"/>
          <w:lang w:eastAsia="pl-PL"/>
        </w:rPr>
        <w:br/>
        <w:t xml:space="preserve">Nie </w:t>
      </w:r>
      <w:r w:rsidRPr="005D13DB">
        <w:rPr>
          <w:rFonts w:ascii="Times New Roman" w:eastAsia="Times New Roman" w:hAnsi="Times New Roman" w:cs="Times New Roman"/>
          <w:sz w:val="24"/>
          <w:szCs w:val="24"/>
          <w:lang w:eastAsia="pl-PL"/>
        </w:rPr>
        <w:br/>
        <w:t xml:space="preserve">Wskazać powody: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5D13DB">
        <w:rPr>
          <w:rFonts w:ascii="Times New Roman" w:eastAsia="Times New Roman" w:hAnsi="Times New Roman" w:cs="Times New Roman"/>
          <w:sz w:val="24"/>
          <w:szCs w:val="24"/>
          <w:lang w:eastAsia="pl-PL"/>
        </w:rPr>
        <w:br/>
        <w:t xml:space="preserve">&gt; Oferta powinna być sporządzona w języku polskim, z zachowaniem formy pisemnej pod rygorem nieważności.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 xml:space="preserve">IV.6.3) Termin związania ofertą: </w:t>
      </w:r>
      <w:r w:rsidRPr="005D13DB">
        <w:rPr>
          <w:rFonts w:ascii="Times New Roman" w:eastAsia="Times New Roman" w:hAnsi="Times New Roman" w:cs="Times New Roman"/>
          <w:sz w:val="24"/>
          <w:szCs w:val="24"/>
          <w:lang w:eastAsia="pl-PL"/>
        </w:rPr>
        <w:t xml:space="preserve">do: okres w dniach: 30 (od ostatecznego terminu składania ofert)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5D13DB">
        <w:rPr>
          <w:rFonts w:ascii="Times New Roman" w:eastAsia="Times New Roman" w:hAnsi="Times New Roman" w:cs="Times New Roman"/>
          <w:sz w:val="24"/>
          <w:szCs w:val="24"/>
          <w:lang w:eastAsia="pl-PL"/>
        </w:rPr>
        <w:t xml:space="preserve"> Nie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5D13DB">
        <w:rPr>
          <w:rFonts w:ascii="Times New Roman" w:eastAsia="Times New Roman" w:hAnsi="Times New Roman" w:cs="Times New Roman"/>
          <w:sz w:val="24"/>
          <w:szCs w:val="24"/>
          <w:lang w:eastAsia="pl-PL"/>
        </w:rPr>
        <w:t xml:space="preserve"> Nie </w:t>
      </w:r>
      <w:r w:rsidRPr="005D13DB">
        <w:rPr>
          <w:rFonts w:ascii="Times New Roman" w:eastAsia="Times New Roman" w:hAnsi="Times New Roman" w:cs="Times New Roman"/>
          <w:sz w:val="24"/>
          <w:szCs w:val="24"/>
          <w:lang w:eastAsia="pl-PL"/>
        </w:rPr>
        <w:br/>
      </w:r>
      <w:r w:rsidRPr="005D13DB">
        <w:rPr>
          <w:rFonts w:ascii="Times New Roman" w:eastAsia="Times New Roman" w:hAnsi="Times New Roman" w:cs="Times New Roman"/>
          <w:b/>
          <w:bCs/>
          <w:sz w:val="24"/>
          <w:szCs w:val="24"/>
          <w:lang w:eastAsia="pl-PL"/>
        </w:rPr>
        <w:t>IV.6.6) Informacje dodatkowe:</w:t>
      </w:r>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br/>
        <w:t xml:space="preserve">1. Wykonawca może zwrócić się do Zamawiającego z pytaniami, kierując wniosek na adres: Jarocińska Agencja Rozwoju Sp. z o.o. Ul. T. Kościuszki 15 B, 63-200 Jarocin. 2. Zamawiający prosi o przekazywanie pytań również drogą elektroniczną na adres: szymczak@jarjarocin.pl w formie edytowalnej. 3. Ze strony zamawiającego osobą uprawnioną do porozumiewania się z wykonawcami oraz do potwierdzania wpływu oświadczeń, wniosków, zawiadomień oraz innych informacji przekazanych jest: 1) w sprawach przedmiotu zamówienia: Agnieszka Borkiewicz, tel. 668 815 705. 2) w sprawach procedury: Edyta Szymczak, tel. 62 740 02 95. Alicja Stachowska, tel. 62 740 02 95. Magdalena Kaniewska, tel. 62 740 02 95. 4. 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 </w:t>
      </w:r>
      <w:r w:rsidRPr="005D13DB">
        <w:rPr>
          <w:rFonts w:ascii="Times New Roman" w:eastAsia="Times New Roman" w:hAnsi="Times New Roman" w:cs="Times New Roman"/>
          <w:sz w:val="24"/>
          <w:szCs w:val="24"/>
          <w:lang w:eastAsia="pl-PL"/>
        </w:rPr>
        <w:sym w:font="Symbol" w:char="F0A7"/>
      </w:r>
      <w:r w:rsidRPr="005D13DB">
        <w:rPr>
          <w:rFonts w:ascii="Times New Roman" w:eastAsia="Times New Roman" w:hAnsi="Times New Roman" w:cs="Times New Roman"/>
          <w:sz w:val="24"/>
          <w:szCs w:val="24"/>
          <w:lang w:eastAsia="pl-PL"/>
        </w:rPr>
        <w:t xml:space="preserve"> administratorem Pani/Pana danych osobowych jest: Biblioteka Publiczna Miasta i Gminy Jarocin ul. Park 3 (Pałac Radolińskich), 63-200 Jarocin Tel./fax: 62 747-23-46, 690 173 766 Poczta elektroniczna: administracja@bibliotekajarocin.pl </w:t>
      </w:r>
      <w:r w:rsidRPr="005D13DB">
        <w:rPr>
          <w:rFonts w:ascii="Times New Roman" w:eastAsia="Times New Roman" w:hAnsi="Times New Roman" w:cs="Times New Roman"/>
          <w:sz w:val="24"/>
          <w:szCs w:val="24"/>
          <w:lang w:eastAsia="pl-PL"/>
        </w:rPr>
        <w:sym w:font="Symbol" w:char="F0A7"/>
      </w:r>
      <w:r w:rsidRPr="005D13DB">
        <w:rPr>
          <w:rFonts w:ascii="Times New Roman" w:eastAsia="Times New Roman" w:hAnsi="Times New Roman" w:cs="Times New Roman"/>
          <w:sz w:val="24"/>
          <w:szCs w:val="24"/>
          <w:lang w:eastAsia="pl-PL"/>
        </w:rPr>
        <w:t xml:space="preserve"> Strona internetowa: www.bibliotekajarocin.pl </w:t>
      </w:r>
      <w:r w:rsidRPr="005D13DB">
        <w:rPr>
          <w:rFonts w:ascii="Times New Roman" w:eastAsia="Times New Roman" w:hAnsi="Times New Roman" w:cs="Times New Roman"/>
          <w:sz w:val="24"/>
          <w:szCs w:val="24"/>
          <w:lang w:eastAsia="pl-PL"/>
        </w:rPr>
        <w:sym w:font="Symbol" w:char="F0A7"/>
      </w:r>
      <w:r w:rsidRPr="005D13DB">
        <w:rPr>
          <w:rFonts w:ascii="Times New Roman" w:eastAsia="Times New Roman" w:hAnsi="Times New Roman" w:cs="Times New Roman"/>
          <w:sz w:val="24"/>
          <w:szCs w:val="24"/>
          <w:lang w:eastAsia="pl-PL"/>
        </w:rPr>
        <w:t xml:space="preserve"> inspektorem ochrony danych osobowych w w/w jednostkach jest: Pan Witold Ruciński, kontakt: iodo@jarocin.pl. </w:t>
      </w:r>
      <w:r w:rsidRPr="005D13DB">
        <w:rPr>
          <w:rFonts w:ascii="Times New Roman" w:eastAsia="Times New Roman" w:hAnsi="Times New Roman" w:cs="Times New Roman"/>
          <w:sz w:val="24"/>
          <w:szCs w:val="24"/>
          <w:lang w:eastAsia="pl-PL"/>
        </w:rPr>
        <w:sym w:font="Symbol" w:char="F0A7"/>
      </w:r>
      <w:r w:rsidRPr="005D13DB">
        <w:rPr>
          <w:rFonts w:ascii="Times New Roman" w:eastAsia="Times New Roman" w:hAnsi="Times New Roman" w:cs="Times New Roman"/>
          <w:sz w:val="24"/>
          <w:szCs w:val="24"/>
          <w:lang w:eastAsia="pl-PL"/>
        </w:rPr>
        <w:t xml:space="preserve"> Pani/Pana dane osobowe przetwarzane będą na podstawie art. 6 ust. 1 lit. c RODO w celu związanym z postępowaniem o udzielenie zamówienia publicznego na „WYPOSAŻENIE NOWEJ SIEDZIBY BIBLIOTEKI W KAMIENICY PRZY UL. RYNEK 17 W JAROCINIE, dz. nr 1678”, nr sprawy ZP/1/2019 prowadzonym w trybie przetargu nieograniczonego; </w:t>
      </w:r>
      <w:r w:rsidRPr="005D13DB">
        <w:rPr>
          <w:rFonts w:ascii="Times New Roman" w:eastAsia="Times New Roman" w:hAnsi="Times New Roman" w:cs="Times New Roman"/>
          <w:sz w:val="24"/>
          <w:szCs w:val="24"/>
          <w:lang w:eastAsia="pl-PL"/>
        </w:rPr>
        <w:sym w:font="Symbol" w:char="F0A7"/>
      </w:r>
      <w:r w:rsidRPr="005D13DB">
        <w:rPr>
          <w:rFonts w:ascii="Times New Roman" w:eastAsia="Times New Roman" w:hAnsi="Times New Roman" w:cs="Times New Roman"/>
          <w:sz w:val="24"/>
          <w:szCs w:val="24"/>
          <w:lang w:eastAsia="pl-PL"/>
        </w:rPr>
        <w:t xml:space="preserve"> odbiorcami Pani/Pana danych osobowych będą osoby lub podmioty, którym udostępniona zostanie dokumentacja postępowania w oparciu o art. 8 oraz art. 96 ust. 3 ustawy z dnia 29 stycznia 2004 r. – Prawo zamówień publicznych (Dz. U. z 2018 r. poz. 1986 t.j.), dalej „ustawa </w:t>
      </w:r>
      <w:proofErr w:type="spellStart"/>
      <w:r w:rsidRPr="005D13DB">
        <w:rPr>
          <w:rFonts w:ascii="Times New Roman" w:eastAsia="Times New Roman" w:hAnsi="Times New Roman" w:cs="Times New Roman"/>
          <w:sz w:val="24"/>
          <w:szCs w:val="24"/>
          <w:lang w:eastAsia="pl-PL"/>
        </w:rPr>
        <w:t>Pzp</w:t>
      </w:r>
      <w:proofErr w:type="spellEnd"/>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sym w:font="Symbol" w:char="F0A7"/>
      </w:r>
      <w:r w:rsidRPr="005D13DB">
        <w:rPr>
          <w:rFonts w:ascii="Times New Roman" w:eastAsia="Times New Roman" w:hAnsi="Times New Roman" w:cs="Times New Roman"/>
          <w:sz w:val="24"/>
          <w:szCs w:val="24"/>
          <w:lang w:eastAsia="pl-PL"/>
        </w:rPr>
        <w:t xml:space="preserve"> Pani/Pana dane osobowe będą przechowywane, zgodnie z art. 97 ust. 1 ustawy </w:t>
      </w:r>
      <w:proofErr w:type="spellStart"/>
      <w:r w:rsidRPr="005D13DB">
        <w:rPr>
          <w:rFonts w:ascii="Times New Roman" w:eastAsia="Times New Roman" w:hAnsi="Times New Roman" w:cs="Times New Roman"/>
          <w:sz w:val="24"/>
          <w:szCs w:val="24"/>
          <w:lang w:eastAsia="pl-PL"/>
        </w:rPr>
        <w:t>Pzp</w:t>
      </w:r>
      <w:proofErr w:type="spellEnd"/>
      <w:r w:rsidRPr="005D13DB">
        <w:rPr>
          <w:rFonts w:ascii="Times New Roman" w:eastAsia="Times New Roman" w:hAnsi="Times New Roman" w:cs="Times New Roman"/>
          <w:sz w:val="24"/>
          <w:szCs w:val="24"/>
          <w:lang w:eastAsia="pl-PL"/>
        </w:rPr>
        <w:t xml:space="preserve">, przez okres 4 lat od dnia zakończenia postępowania o udzielenie zamówienia, a jeżeli czas trwania umowy przekracza 4 lata, okres przechowywania obejmuje cały czas trwania umowy; </w:t>
      </w:r>
      <w:r w:rsidRPr="005D13DB">
        <w:rPr>
          <w:rFonts w:ascii="Times New Roman" w:eastAsia="Times New Roman" w:hAnsi="Times New Roman" w:cs="Times New Roman"/>
          <w:sz w:val="24"/>
          <w:szCs w:val="24"/>
          <w:lang w:eastAsia="pl-PL"/>
        </w:rPr>
        <w:sym w:font="Symbol" w:char="F0A7"/>
      </w:r>
      <w:r w:rsidRPr="005D13DB">
        <w:rPr>
          <w:rFonts w:ascii="Times New Roman" w:eastAsia="Times New Roman" w:hAnsi="Times New Roman" w:cs="Times New Roman"/>
          <w:sz w:val="24"/>
          <w:szCs w:val="24"/>
          <w:lang w:eastAsia="pl-PL"/>
        </w:rPr>
        <w:t xml:space="preserve"> obowiązek podania przez Panią/Pana danych osobowych bezpośrednio Pani/Pana dotyczących jest wymogiem ustawowym określonym w przepisach ustawy </w:t>
      </w:r>
      <w:proofErr w:type="spellStart"/>
      <w:r w:rsidRPr="005D13DB">
        <w:rPr>
          <w:rFonts w:ascii="Times New Roman" w:eastAsia="Times New Roman" w:hAnsi="Times New Roman" w:cs="Times New Roman"/>
          <w:sz w:val="24"/>
          <w:szCs w:val="24"/>
          <w:lang w:eastAsia="pl-PL"/>
        </w:rPr>
        <w:t>Pzp</w:t>
      </w:r>
      <w:proofErr w:type="spellEnd"/>
      <w:r w:rsidRPr="005D13DB">
        <w:rPr>
          <w:rFonts w:ascii="Times New Roman" w:eastAsia="Times New Roman" w:hAnsi="Times New Roman" w:cs="Times New Roman"/>
          <w:sz w:val="24"/>
          <w:szCs w:val="24"/>
          <w:lang w:eastAsia="pl-PL"/>
        </w:rPr>
        <w:t xml:space="preserve">, związanym z udziałem w postępowaniu o udzielenie zamówienia publicznego; konsekwencje niepodania określonych danych wynikają z ustawy </w:t>
      </w:r>
      <w:proofErr w:type="spellStart"/>
      <w:r w:rsidRPr="005D13DB">
        <w:rPr>
          <w:rFonts w:ascii="Times New Roman" w:eastAsia="Times New Roman" w:hAnsi="Times New Roman" w:cs="Times New Roman"/>
          <w:sz w:val="24"/>
          <w:szCs w:val="24"/>
          <w:lang w:eastAsia="pl-PL"/>
        </w:rPr>
        <w:t>Pzp</w:t>
      </w:r>
      <w:proofErr w:type="spellEnd"/>
      <w:r w:rsidRPr="005D13DB">
        <w:rPr>
          <w:rFonts w:ascii="Times New Roman" w:eastAsia="Times New Roman" w:hAnsi="Times New Roman" w:cs="Times New Roman"/>
          <w:sz w:val="24"/>
          <w:szCs w:val="24"/>
          <w:lang w:eastAsia="pl-PL"/>
        </w:rPr>
        <w:t xml:space="preserve">; </w:t>
      </w:r>
      <w:r w:rsidRPr="005D13DB">
        <w:rPr>
          <w:rFonts w:ascii="Times New Roman" w:eastAsia="Times New Roman" w:hAnsi="Times New Roman" w:cs="Times New Roman"/>
          <w:sz w:val="24"/>
          <w:szCs w:val="24"/>
          <w:lang w:eastAsia="pl-PL"/>
        </w:rPr>
        <w:sym w:font="Symbol" w:char="F0A7"/>
      </w:r>
      <w:r w:rsidRPr="005D13DB">
        <w:rPr>
          <w:rFonts w:ascii="Times New Roman" w:eastAsia="Times New Roman" w:hAnsi="Times New Roman" w:cs="Times New Roman"/>
          <w:sz w:val="24"/>
          <w:szCs w:val="24"/>
          <w:lang w:eastAsia="pl-PL"/>
        </w:rPr>
        <w:t xml:space="preserve"> w odniesieniu do Pani/Pana danych osobowych decyzje nie będą podejmowane w sposób zautomatyzowany, stosowanie do art. 22 RODO; </w:t>
      </w:r>
      <w:r w:rsidRPr="005D13DB">
        <w:rPr>
          <w:rFonts w:ascii="Times New Roman" w:eastAsia="Times New Roman" w:hAnsi="Times New Roman" w:cs="Times New Roman"/>
          <w:sz w:val="24"/>
          <w:szCs w:val="24"/>
          <w:lang w:eastAsia="pl-PL"/>
        </w:rPr>
        <w:sym w:font="Symbol" w:char="F0A7"/>
      </w:r>
      <w:r w:rsidRPr="005D13DB">
        <w:rPr>
          <w:rFonts w:ascii="Times New Roman" w:eastAsia="Times New Roman" w:hAnsi="Times New Roman" w:cs="Times New Roman"/>
          <w:sz w:val="24"/>
          <w:szCs w:val="24"/>
          <w:lang w:eastAsia="pl-PL"/>
        </w:rPr>
        <w:t xml:space="preserve"> posiada Pani/Pan: − na podstawie art. 15 RODO prawo dostępu do danych osobowych Pani/Pana dotyczących; − na podstawie art. 16 RODO prawo do sprostowania Pani/Pana danych osobowych*; − na podstawie art. 18 RODO prawo żądania od administratora ograniczenia przetwarzania danych osobowych z zastrzeżeniem przypadków, o których mowa w art. 18 ust. 2 RODO**; − prawo do wniesienia skargi do Prezesa Urzędu Ochrony Danych Osobowych, gdy uzna Pani/Pan, że przetwarzanie danych osobowych Pani/Pana dotyczących narusza przepisy RODO; </w:t>
      </w:r>
      <w:r w:rsidRPr="005D13DB">
        <w:rPr>
          <w:rFonts w:ascii="Times New Roman" w:eastAsia="Times New Roman" w:hAnsi="Times New Roman" w:cs="Times New Roman"/>
          <w:sz w:val="24"/>
          <w:szCs w:val="24"/>
          <w:lang w:eastAsia="pl-PL"/>
        </w:rPr>
        <w:sym w:font="Symbol" w:char="F0A7"/>
      </w:r>
      <w:r w:rsidRPr="005D13DB">
        <w:rPr>
          <w:rFonts w:ascii="Times New Roman" w:eastAsia="Times New Roman" w:hAnsi="Times New Roman" w:cs="Times New Roman"/>
          <w:sz w:val="24"/>
          <w:szCs w:val="24"/>
          <w:lang w:eastAsia="pl-PL"/>
        </w:rPr>
        <w:t xml:space="preserve"> nie przysługuje Pani/Panu: − w związku z art. 17 ust. 3 lit. b, d lub e RODO prawo do usunięcia danych osobowych; − prawo do przenoszenia danych osobowych, o którym mowa w art. 20 RODO; − na podstawie art. 21 RODO prawo sprzeciwu, wobec przetwarzania danych osobowych, gdyż podstawą prawną przetwarzania Pani/Pana danych osobowych jest art. 6 ust. 1 lit. c RODO. *Wyjaśnienie: skorzystanie z prawa do sprostowania nie może skutkować zmianą wyniku postępowania o udzielenie zamówienia publicznego ani zmianą postanowień umowy w zakresie niezgodnym z ustawą </w:t>
      </w:r>
      <w:proofErr w:type="spellStart"/>
      <w:r w:rsidRPr="005D13DB">
        <w:rPr>
          <w:rFonts w:ascii="Times New Roman" w:eastAsia="Times New Roman" w:hAnsi="Times New Roman" w:cs="Times New Roman"/>
          <w:sz w:val="24"/>
          <w:szCs w:val="24"/>
          <w:lang w:eastAsia="pl-PL"/>
        </w:rPr>
        <w:t>Pzp</w:t>
      </w:r>
      <w:proofErr w:type="spellEnd"/>
      <w:r w:rsidRPr="005D13DB">
        <w:rPr>
          <w:rFonts w:ascii="Times New Roman" w:eastAsia="Times New Roman" w:hAnsi="Times New Roman" w:cs="Times New Roman"/>
          <w:sz w:val="24"/>
          <w:szCs w:val="24"/>
          <w:lang w:eastAsia="pl-PL"/>
        </w:rPr>
        <w:t xml:space="preserve"> oraz nie może naruszać integralności protokołu oraz jego załączników.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p>
    <w:p w:rsidR="005D13DB" w:rsidRPr="005D13DB" w:rsidRDefault="005D13DB" w:rsidP="005D13DB">
      <w:pPr>
        <w:spacing w:after="0" w:line="240" w:lineRule="auto"/>
        <w:jc w:val="center"/>
        <w:rPr>
          <w:rFonts w:ascii="Times New Roman" w:eastAsia="Times New Roman" w:hAnsi="Times New Roman" w:cs="Times New Roman"/>
          <w:sz w:val="24"/>
          <w:szCs w:val="24"/>
          <w:lang w:eastAsia="pl-PL"/>
        </w:rPr>
      </w:pPr>
      <w:r w:rsidRPr="005D13DB">
        <w:rPr>
          <w:rFonts w:ascii="Times New Roman" w:eastAsia="Times New Roman" w:hAnsi="Times New Roman" w:cs="Times New Roman"/>
          <w:sz w:val="24"/>
          <w:szCs w:val="24"/>
          <w:u w:val="single"/>
          <w:lang w:eastAsia="pl-PL"/>
        </w:rPr>
        <w:t xml:space="preserve">ZAŁĄCZNIK I - INFORMACJE DOTYCZĄCE OFERT CZĘŚCIOWYCH </w:t>
      </w:r>
    </w:p>
    <w:p w:rsidR="005D13DB" w:rsidRPr="005D13DB" w:rsidRDefault="005D13DB" w:rsidP="005D13DB">
      <w:pPr>
        <w:spacing w:after="0" w:line="240" w:lineRule="auto"/>
        <w:rPr>
          <w:rFonts w:ascii="Times New Roman" w:eastAsia="Times New Roman" w:hAnsi="Times New Roman" w:cs="Times New Roman"/>
          <w:sz w:val="24"/>
          <w:szCs w:val="24"/>
          <w:lang w:eastAsia="pl-PL"/>
        </w:rPr>
      </w:pPr>
    </w:p>
    <w:p w:rsidR="005D13DB" w:rsidRPr="005D13DB" w:rsidRDefault="005D13DB" w:rsidP="005D13DB">
      <w:pPr>
        <w:spacing w:after="0" w:line="240" w:lineRule="auto"/>
        <w:rPr>
          <w:rFonts w:ascii="Times New Roman" w:eastAsia="Times New Roman" w:hAnsi="Times New Roman" w:cs="Times New Roman"/>
          <w:sz w:val="24"/>
          <w:szCs w:val="24"/>
          <w:lang w:eastAsia="pl-PL"/>
        </w:rPr>
      </w:pPr>
    </w:p>
    <w:p w:rsidR="005D13DB" w:rsidRPr="005D13DB" w:rsidRDefault="005D13DB" w:rsidP="005D13DB">
      <w:pPr>
        <w:spacing w:after="240" w:line="240" w:lineRule="auto"/>
        <w:rPr>
          <w:rFonts w:ascii="Times New Roman" w:eastAsia="Times New Roman" w:hAnsi="Times New Roman" w:cs="Times New Roman"/>
          <w:sz w:val="24"/>
          <w:szCs w:val="24"/>
          <w:lang w:eastAsia="pl-PL"/>
        </w:rPr>
      </w:pPr>
    </w:p>
    <w:p w:rsidR="005D13DB" w:rsidRPr="005D13DB" w:rsidRDefault="005D13DB" w:rsidP="005D13DB">
      <w:pPr>
        <w:spacing w:after="24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D13DB" w:rsidRPr="005D13DB" w:rsidTr="005D13DB">
        <w:trPr>
          <w:tblCellSpacing w:w="15" w:type="dxa"/>
        </w:trPr>
        <w:tc>
          <w:tcPr>
            <w:tcW w:w="0" w:type="auto"/>
            <w:vAlign w:val="center"/>
            <w:hideMark/>
          </w:tcPr>
          <w:p w:rsidR="005D13DB" w:rsidRPr="005D13DB" w:rsidRDefault="005D13DB" w:rsidP="005D13DB">
            <w:pPr>
              <w:spacing w:after="240" w:line="240" w:lineRule="auto"/>
              <w:rPr>
                <w:rFonts w:ascii="Times New Roman" w:eastAsia="Times New Roman" w:hAnsi="Times New Roman" w:cs="Times New Roman"/>
                <w:sz w:val="24"/>
                <w:szCs w:val="24"/>
                <w:lang w:eastAsia="pl-PL"/>
              </w:rPr>
            </w:pPr>
          </w:p>
        </w:tc>
      </w:tr>
    </w:tbl>
    <w:p w:rsidR="003139F4" w:rsidRDefault="003139F4"/>
    <w:sectPr w:rsidR="003139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C85"/>
    <w:rsid w:val="003139F4"/>
    <w:rsid w:val="005D13DB"/>
    <w:rsid w:val="00E82C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A45193-5EF3-4F7E-B63A-47C261B35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625850">
      <w:bodyDiv w:val="1"/>
      <w:marLeft w:val="0"/>
      <w:marRight w:val="0"/>
      <w:marTop w:val="0"/>
      <w:marBottom w:val="0"/>
      <w:divBdr>
        <w:top w:val="none" w:sz="0" w:space="0" w:color="auto"/>
        <w:left w:val="none" w:sz="0" w:space="0" w:color="auto"/>
        <w:bottom w:val="none" w:sz="0" w:space="0" w:color="auto"/>
        <w:right w:val="none" w:sz="0" w:space="0" w:color="auto"/>
      </w:divBdr>
      <w:divsChild>
        <w:div w:id="1766489885">
          <w:marLeft w:val="0"/>
          <w:marRight w:val="0"/>
          <w:marTop w:val="0"/>
          <w:marBottom w:val="0"/>
          <w:divBdr>
            <w:top w:val="none" w:sz="0" w:space="0" w:color="auto"/>
            <w:left w:val="none" w:sz="0" w:space="0" w:color="auto"/>
            <w:bottom w:val="none" w:sz="0" w:space="0" w:color="auto"/>
            <w:right w:val="none" w:sz="0" w:space="0" w:color="auto"/>
          </w:divBdr>
          <w:divsChild>
            <w:div w:id="801844058">
              <w:marLeft w:val="0"/>
              <w:marRight w:val="0"/>
              <w:marTop w:val="0"/>
              <w:marBottom w:val="0"/>
              <w:divBdr>
                <w:top w:val="none" w:sz="0" w:space="0" w:color="auto"/>
                <w:left w:val="none" w:sz="0" w:space="0" w:color="auto"/>
                <w:bottom w:val="none" w:sz="0" w:space="0" w:color="auto"/>
                <w:right w:val="none" w:sz="0" w:space="0" w:color="auto"/>
              </w:divBdr>
            </w:div>
            <w:div w:id="811403843">
              <w:marLeft w:val="0"/>
              <w:marRight w:val="0"/>
              <w:marTop w:val="0"/>
              <w:marBottom w:val="0"/>
              <w:divBdr>
                <w:top w:val="none" w:sz="0" w:space="0" w:color="auto"/>
                <w:left w:val="none" w:sz="0" w:space="0" w:color="auto"/>
                <w:bottom w:val="none" w:sz="0" w:space="0" w:color="auto"/>
                <w:right w:val="none" w:sz="0" w:space="0" w:color="auto"/>
              </w:divBdr>
            </w:div>
            <w:div w:id="801196256">
              <w:marLeft w:val="0"/>
              <w:marRight w:val="0"/>
              <w:marTop w:val="0"/>
              <w:marBottom w:val="0"/>
              <w:divBdr>
                <w:top w:val="none" w:sz="0" w:space="0" w:color="auto"/>
                <w:left w:val="none" w:sz="0" w:space="0" w:color="auto"/>
                <w:bottom w:val="none" w:sz="0" w:space="0" w:color="auto"/>
                <w:right w:val="none" w:sz="0" w:space="0" w:color="auto"/>
              </w:divBdr>
              <w:divsChild>
                <w:div w:id="840698371">
                  <w:marLeft w:val="0"/>
                  <w:marRight w:val="0"/>
                  <w:marTop w:val="0"/>
                  <w:marBottom w:val="0"/>
                  <w:divBdr>
                    <w:top w:val="none" w:sz="0" w:space="0" w:color="auto"/>
                    <w:left w:val="none" w:sz="0" w:space="0" w:color="auto"/>
                    <w:bottom w:val="none" w:sz="0" w:space="0" w:color="auto"/>
                    <w:right w:val="none" w:sz="0" w:space="0" w:color="auto"/>
                  </w:divBdr>
                </w:div>
              </w:divsChild>
            </w:div>
            <w:div w:id="1487354040">
              <w:marLeft w:val="0"/>
              <w:marRight w:val="0"/>
              <w:marTop w:val="0"/>
              <w:marBottom w:val="0"/>
              <w:divBdr>
                <w:top w:val="none" w:sz="0" w:space="0" w:color="auto"/>
                <w:left w:val="none" w:sz="0" w:space="0" w:color="auto"/>
                <w:bottom w:val="none" w:sz="0" w:space="0" w:color="auto"/>
                <w:right w:val="none" w:sz="0" w:space="0" w:color="auto"/>
              </w:divBdr>
              <w:divsChild>
                <w:div w:id="1503160643">
                  <w:marLeft w:val="0"/>
                  <w:marRight w:val="0"/>
                  <w:marTop w:val="0"/>
                  <w:marBottom w:val="0"/>
                  <w:divBdr>
                    <w:top w:val="none" w:sz="0" w:space="0" w:color="auto"/>
                    <w:left w:val="none" w:sz="0" w:space="0" w:color="auto"/>
                    <w:bottom w:val="none" w:sz="0" w:space="0" w:color="auto"/>
                    <w:right w:val="none" w:sz="0" w:space="0" w:color="auto"/>
                  </w:divBdr>
                </w:div>
              </w:divsChild>
            </w:div>
            <w:div w:id="1301106980">
              <w:marLeft w:val="0"/>
              <w:marRight w:val="0"/>
              <w:marTop w:val="0"/>
              <w:marBottom w:val="0"/>
              <w:divBdr>
                <w:top w:val="none" w:sz="0" w:space="0" w:color="auto"/>
                <w:left w:val="none" w:sz="0" w:space="0" w:color="auto"/>
                <w:bottom w:val="none" w:sz="0" w:space="0" w:color="auto"/>
                <w:right w:val="none" w:sz="0" w:space="0" w:color="auto"/>
              </w:divBdr>
              <w:divsChild>
                <w:div w:id="8334358">
                  <w:marLeft w:val="0"/>
                  <w:marRight w:val="0"/>
                  <w:marTop w:val="0"/>
                  <w:marBottom w:val="0"/>
                  <w:divBdr>
                    <w:top w:val="none" w:sz="0" w:space="0" w:color="auto"/>
                    <w:left w:val="none" w:sz="0" w:space="0" w:color="auto"/>
                    <w:bottom w:val="none" w:sz="0" w:space="0" w:color="auto"/>
                    <w:right w:val="none" w:sz="0" w:space="0" w:color="auto"/>
                  </w:divBdr>
                </w:div>
                <w:div w:id="1364328591">
                  <w:marLeft w:val="0"/>
                  <w:marRight w:val="0"/>
                  <w:marTop w:val="0"/>
                  <w:marBottom w:val="0"/>
                  <w:divBdr>
                    <w:top w:val="none" w:sz="0" w:space="0" w:color="auto"/>
                    <w:left w:val="none" w:sz="0" w:space="0" w:color="auto"/>
                    <w:bottom w:val="none" w:sz="0" w:space="0" w:color="auto"/>
                    <w:right w:val="none" w:sz="0" w:space="0" w:color="auto"/>
                  </w:divBdr>
                </w:div>
                <w:div w:id="1749300502">
                  <w:marLeft w:val="0"/>
                  <w:marRight w:val="0"/>
                  <w:marTop w:val="0"/>
                  <w:marBottom w:val="0"/>
                  <w:divBdr>
                    <w:top w:val="none" w:sz="0" w:space="0" w:color="auto"/>
                    <w:left w:val="none" w:sz="0" w:space="0" w:color="auto"/>
                    <w:bottom w:val="none" w:sz="0" w:space="0" w:color="auto"/>
                    <w:right w:val="none" w:sz="0" w:space="0" w:color="auto"/>
                  </w:divBdr>
                </w:div>
                <w:div w:id="722603348">
                  <w:marLeft w:val="0"/>
                  <w:marRight w:val="0"/>
                  <w:marTop w:val="0"/>
                  <w:marBottom w:val="0"/>
                  <w:divBdr>
                    <w:top w:val="none" w:sz="0" w:space="0" w:color="auto"/>
                    <w:left w:val="none" w:sz="0" w:space="0" w:color="auto"/>
                    <w:bottom w:val="none" w:sz="0" w:space="0" w:color="auto"/>
                    <w:right w:val="none" w:sz="0" w:space="0" w:color="auto"/>
                  </w:divBdr>
                </w:div>
              </w:divsChild>
            </w:div>
            <w:div w:id="2093039778">
              <w:marLeft w:val="0"/>
              <w:marRight w:val="0"/>
              <w:marTop w:val="0"/>
              <w:marBottom w:val="0"/>
              <w:divBdr>
                <w:top w:val="none" w:sz="0" w:space="0" w:color="auto"/>
                <w:left w:val="none" w:sz="0" w:space="0" w:color="auto"/>
                <w:bottom w:val="none" w:sz="0" w:space="0" w:color="auto"/>
                <w:right w:val="none" w:sz="0" w:space="0" w:color="auto"/>
              </w:divBdr>
              <w:divsChild>
                <w:div w:id="38823579">
                  <w:marLeft w:val="0"/>
                  <w:marRight w:val="0"/>
                  <w:marTop w:val="0"/>
                  <w:marBottom w:val="0"/>
                  <w:divBdr>
                    <w:top w:val="none" w:sz="0" w:space="0" w:color="auto"/>
                    <w:left w:val="none" w:sz="0" w:space="0" w:color="auto"/>
                    <w:bottom w:val="none" w:sz="0" w:space="0" w:color="auto"/>
                    <w:right w:val="none" w:sz="0" w:space="0" w:color="auto"/>
                  </w:divBdr>
                </w:div>
                <w:div w:id="1582177603">
                  <w:marLeft w:val="0"/>
                  <w:marRight w:val="0"/>
                  <w:marTop w:val="0"/>
                  <w:marBottom w:val="0"/>
                  <w:divBdr>
                    <w:top w:val="none" w:sz="0" w:space="0" w:color="auto"/>
                    <w:left w:val="none" w:sz="0" w:space="0" w:color="auto"/>
                    <w:bottom w:val="none" w:sz="0" w:space="0" w:color="auto"/>
                    <w:right w:val="none" w:sz="0" w:space="0" w:color="auto"/>
                  </w:divBdr>
                </w:div>
                <w:div w:id="885532053">
                  <w:marLeft w:val="0"/>
                  <w:marRight w:val="0"/>
                  <w:marTop w:val="0"/>
                  <w:marBottom w:val="0"/>
                  <w:divBdr>
                    <w:top w:val="none" w:sz="0" w:space="0" w:color="auto"/>
                    <w:left w:val="none" w:sz="0" w:space="0" w:color="auto"/>
                    <w:bottom w:val="none" w:sz="0" w:space="0" w:color="auto"/>
                    <w:right w:val="none" w:sz="0" w:space="0" w:color="auto"/>
                  </w:divBdr>
                </w:div>
                <w:div w:id="1417704909">
                  <w:marLeft w:val="0"/>
                  <w:marRight w:val="0"/>
                  <w:marTop w:val="0"/>
                  <w:marBottom w:val="0"/>
                  <w:divBdr>
                    <w:top w:val="none" w:sz="0" w:space="0" w:color="auto"/>
                    <w:left w:val="none" w:sz="0" w:space="0" w:color="auto"/>
                    <w:bottom w:val="none" w:sz="0" w:space="0" w:color="auto"/>
                    <w:right w:val="none" w:sz="0" w:space="0" w:color="auto"/>
                  </w:divBdr>
                </w:div>
                <w:div w:id="1516460641">
                  <w:marLeft w:val="0"/>
                  <w:marRight w:val="0"/>
                  <w:marTop w:val="0"/>
                  <w:marBottom w:val="0"/>
                  <w:divBdr>
                    <w:top w:val="none" w:sz="0" w:space="0" w:color="auto"/>
                    <w:left w:val="none" w:sz="0" w:space="0" w:color="auto"/>
                    <w:bottom w:val="none" w:sz="0" w:space="0" w:color="auto"/>
                    <w:right w:val="none" w:sz="0" w:space="0" w:color="auto"/>
                  </w:divBdr>
                </w:div>
                <w:div w:id="1304847608">
                  <w:marLeft w:val="0"/>
                  <w:marRight w:val="0"/>
                  <w:marTop w:val="0"/>
                  <w:marBottom w:val="0"/>
                  <w:divBdr>
                    <w:top w:val="none" w:sz="0" w:space="0" w:color="auto"/>
                    <w:left w:val="none" w:sz="0" w:space="0" w:color="auto"/>
                    <w:bottom w:val="none" w:sz="0" w:space="0" w:color="auto"/>
                    <w:right w:val="none" w:sz="0" w:space="0" w:color="auto"/>
                  </w:divBdr>
                </w:div>
                <w:div w:id="900291277">
                  <w:marLeft w:val="0"/>
                  <w:marRight w:val="0"/>
                  <w:marTop w:val="0"/>
                  <w:marBottom w:val="0"/>
                  <w:divBdr>
                    <w:top w:val="none" w:sz="0" w:space="0" w:color="auto"/>
                    <w:left w:val="none" w:sz="0" w:space="0" w:color="auto"/>
                    <w:bottom w:val="none" w:sz="0" w:space="0" w:color="auto"/>
                    <w:right w:val="none" w:sz="0" w:space="0" w:color="auto"/>
                  </w:divBdr>
                </w:div>
              </w:divsChild>
            </w:div>
            <w:div w:id="220143646">
              <w:marLeft w:val="0"/>
              <w:marRight w:val="0"/>
              <w:marTop w:val="0"/>
              <w:marBottom w:val="0"/>
              <w:divBdr>
                <w:top w:val="none" w:sz="0" w:space="0" w:color="auto"/>
                <w:left w:val="none" w:sz="0" w:space="0" w:color="auto"/>
                <w:bottom w:val="none" w:sz="0" w:space="0" w:color="auto"/>
                <w:right w:val="none" w:sz="0" w:space="0" w:color="auto"/>
              </w:divBdr>
              <w:divsChild>
                <w:div w:id="602032785">
                  <w:marLeft w:val="0"/>
                  <w:marRight w:val="0"/>
                  <w:marTop w:val="0"/>
                  <w:marBottom w:val="0"/>
                  <w:divBdr>
                    <w:top w:val="none" w:sz="0" w:space="0" w:color="auto"/>
                    <w:left w:val="none" w:sz="0" w:space="0" w:color="auto"/>
                    <w:bottom w:val="none" w:sz="0" w:space="0" w:color="auto"/>
                    <w:right w:val="none" w:sz="0" w:space="0" w:color="auto"/>
                  </w:divBdr>
                </w:div>
                <w:div w:id="1882865542">
                  <w:marLeft w:val="0"/>
                  <w:marRight w:val="0"/>
                  <w:marTop w:val="0"/>
                  <w:marBottom w:val="0"/>
                  <w:divBdr>
                    <w:top w:val="none" w:sz="0" w:space="0" w:color="auto"/>
                    <w:left w:val="none" w:sz="0" w:space="0" w:color="auto"/>
                    <w:bottom w:val="none" w:sz="0" w:space="0" w:color="auto"/>
                    <w:right w:val="none" w:sz="0" w:space="0" w:color="auto"/>
                  </w:divBdr>
                </w:div>
              </w:divsChild>
            </w:div>
            <w:div w:id="1325741374">
              <w:marLeft w:val="0"/>
              <w:marRight w:val="0"/>
              <w:marTop w:val="0"/>
              <w:marBottom w:val="0"/>
              <w:divBdr>
                <w:top w:val="none" w:sz="0" w:space="0" w:color="auto"/>
                <w:left w:val="none" w:sz="0" w:space="0" w:color="auto"/>
                <w:bottom w:val="none" w:sz="0" w:space="0" w:color="auto"/>
                <w:right w:val="none" w:sz="0" w:space="0" w:color="auto"/>
              </w:divBdr>
              <w:divsChild>
                <w:div w:id="611208767">
                  <w:marLeft w:val="0"/>
                  <w:marRight w:val="0"/>
                  <w:marTop w:val="0"/>
                  <w:marBottom w:val="0"/>
                  <w:divBdr>
                    <w:top w:val="none" w:sz="0" w:space="0" w:color="auto"/>
                    <w:left w:val="none" w:sz="0" w:space="0" w:color="auto"/>
                    <w:bottom w:val="none" w:sz="0" w:space="0" w:color="auto"/>
                    <w:right w:val="none" w:sz="0" w:space="0" w:color="auto"/>
                  </w:divBdr>
                </w:div>
                <w:div w:id="1666127544">
                  <w:marLeft w:val="0"/>
                  <w:marRight w:val="0"/>
                  <w:marTop w:val="0"/>
                  <w:marBottom w:val="0"/>
                  <w:divBdr>
                    <w:top w:val="none" w:sz="0" w:space="0" w:color="auto"/>
                    <w:left w:val="none" w:sz="0" w:space="0" w:color="auto"/>
                    <w:bottom w:val="none" w:sz="0" w:space="0" w:color="auto"/>
                    <w:right w:val="none" w:sz="0" w:space="0" w:color="auto"/>
                  </w:divBdr>
                </w:div>
                <w:div w:id="717320327">
                  <w:marLeft w:val="0"/>
                  <w:marRight w:val="0"/>
                  <w:marTop w:val="0"/>
                  <w:marBottom w:val="0"/>
                  <w:divBdr>
                    <w:top w:val="none" w:sz="0" w:space="0" w:color="auto"/>
                    <w:left w:val="none" w:sz="0" w:space="0" w:color="auto"/>
                    <w:bottom w:val="none" w:sz="0" w:space="0" w:color="auto"/>
                    <w:right w:val="none" w:sz="0" w:space="0" w:color="auto"/>
                  </w:divBdr>
                </w:div>
                <w:div w:id="637957001">
                  <w:marLeft w:val="0"/>
                  <w:marRight w:val="0"/>
                  <w:marTop w:val="0"/>
                  <w:marBottom w:val="0"/>
                  <w:divBdr>
                    <w:top w:val="none" w:sz="0" w:space="0" w:color="auto"/>
                    <w:left w:val="none" w:sz="0" w:space="0" w:color="auto"/>
                    <w:bottom w:val="none" w:sz="0" w:space="0" w:color="auto"/>
                    <w:right w:val="none" w:sz="0" w:space="0" w:color="auto"/>
                  </w:divBdr>
                </w:div>
                <w:div w:id="2061054707">
                  <w:marLeft w:val="0"/>
                  <w:marRight w:val="0"/>
                  <w:marTop w:val="0"/>
                  <w:marBottom w:val="0"/>
                  <w:divBdr>
                    <w:top w:val="none" w:sz="0" w:space="0" w:color="auto"/>
                    <w:left w:val="none" w:sz="0" w:space="0" w:color="auto"/>
                    <w:bottom w:val="none" w:sz="0" w:space="0" w:color="auto"/>
                    <w:right w:val="none" w:sz="0" w:space="0" w:color="auto"/>
                  </w:divBdr>
                </w:div>
                <w:div w:id="759835048">
                  <w:marLeft w:val="0"/>
                  <w:marRight w:val="0"/>
                  <w:marTop w:val="0"/>
                  <w:marBottom w:val="0"/>
                  <w:divBdr>
                    <w:top w:val="none" w:sz="0" w:space="0" w:color="auto"/>
                    <w:left w:val="none" w:sz="0" w:space="0" w:color="auto"/>
                    <w:bottom w:val="none" w:sz="0" w:space="0" w:color="auto"/>
                    <w:right w:val="none" w:sz="0" w:space="0" w:color="auto"/>
                  </w:divBdr>
                </w:div>
                <w:div w:id="563443652">
                  <w:marLeft w:val="0"/>
                  <w:marRight w:val="0"/>
                  <w:marTop w:val="0"/>
                  <w:marBottom w:val="0"/>
                  <w:divBdr>
                    <w:top w:val="none" w:sz="0" w:space="0" w:color="auto"/>
                    <w:left w:val="none" w:sz="0" w:space="0" w:color="auto"/>
                    <w:bottom w:val="none" w:sz="0" w:space="0" w:color="auto"/>
                    <w:right w:val="none" w:sz="0" w:space="0" w:color="auto"/>
                  </w:divBdr>
                </w:div>
              </w:divsChild>
            </w:div>
            <w:div w:id="936863127">
              <w:marLeft w:val="0"/>
              <w:marRight w:val="0"/>
              <w:marTop w:val="0"/>
              <w:marBottom w:val="0"/>
              <w:divBdr>
                <w:top w:val="none" w:sz="0" w:space="0" w:color="auto"/>
                <w:left w:val="none" w:sz="0" w:space="0" w:color="auto"/>
                <w:bottom w:val="none" w:sz="0" w:space="0" w:color="auto"/>
                <w:right w:val="none" w:sz="0" w:space="0" w:color="auto"/>
              </w:divBdr>
              <w:divsChild>
                <w:div w:id="760758724">
                  <w:marLeft w:val="0"/>
                  <w:marRight w:val="0"/>
                  <w:marTop w:val="0"/>
                  <w:marBottom w:val="0"/>
                  <w:divBdr>
                    <w:top w:val="none" w:sz="0" w:space="0" w:color="auto"/>
                    <w:left w:val="none" w:sz="0" w:space="0" w:color="auto"/>
                    <w:bottom w:val="none" w:sz="0" w:space="0" w:color="auto"/>
                    <w:right w:val="none" w:sz="0" w:space="0" w:color="auto"/>
                  </w:divBdr>
                </w:div>
                <w:div w:id="550774163">
                  <w:marLeft w:val="0"/>
                  <w:marRight w:val="0"/>
                  <w:marTop w:val="0"/>
                  <w:marBottom w:val="0"/>
                  <w:divBdr>
                    <w:top w:val="none" w:sz="0" w:space="0" w:color="auto"/>
                    <w:left w:val="none" w:sz="0" w:space="0" w:color="auto"/>
                    <w:bottom w:val="none" w:sz="0" w:space="0" w:color="auto"/>
                    <w:right w:val="none" w:sz="0" w:space="0" w:color="auto"/>
                  </w:divBdr>
                </w:div>
                <w:div w:id="2078553288">
                  <w:marLeft w:val="0"/>
                  <w:marRight w:val="0"/>
                  <w:marTop w:val="0"/>
                  <w:marBottom w:val="0"/>
                  <w:divBdr>
                    <w:top w:val="none" w:sz="0" w:space="0" w:color="auto"/>
                    <w:left w:val="none" w:sz="0" w:space="0" w:color="auto"/>
                    <w:bottom w:val="none" w:sz="0" w:space="0" w:color="auto"/>
                    <w:right w:val="none" w:sz="0" w:space="0" w:color="auto"/>
                  </w:divBdr>
                </w:div>
                <w:div w:id="1729380588">
                  <w:marLeft w:val="0"/>
                  <w:marRight w:val="0"/>
                  <w:marTop w:val="0"/>
                  <w:marBottom w:val="0"/>
                  <w:divBdr>
                    <w:top w:val="none" w:sz="0" w:space="0" w:color="auto"/>
                    <w:left w:val="none" w:sz="0" w:space="0" w:color="auto"/>
                    <w:bottom w:val="none" w:sz="0" w:space="0" w:color="auto"/>
                    <w:right w:val="none" w:sz="0" w:space="0" w:color="auto"/>
                  </w:divBdr>
                </w:div>
                <w:div w:id="787433223">
                  <w:marLeft w:val="0"/>
                  <w:marRight w:val="0"/>
                  <w:marTop w:val="0"/>
                  <w:marBottom w:val="0"/>
                  <w:divBdr>
                    <w:top w:val="none" w:sz="0" w:space="0" w:color="auto"/>
                    <w:left w:val="none" w:sz="0" w:space="0" w:color="auto"/>
                    <w:bottom w:val="none" w:sz="0" w:space="0" w:color="auto"/>
                    <w:right w:val="none" w:sz="0" w:space="0" w:color="auto"/>
                  </w:divBdr>
                </w:div>
                <w:div w:id="1859155165">
                  <w:marLeft w:val="0"/>
                  <w:marRight w:val="0"/>
                  <w:marTop w:val="0"/>
                  <w:marBottom w:val="0"/>
                  <w:divBdr>
                    <w:top w:val="none" w:sz="0" w:space="0" w:color="auto"/>
                    <w:left w:val="none" w:sz="0" w:space="0" w:color="auto"/>
                    <w:bottom w:val="none" w:sz="0" w:space="0" w:color="auto"/>
                    <w:right w:val="none" w:sz="0" w:space="0" w:color="auto"/>
                  </w:divBdr>
                </w:div>
                <w:div w:id="1949121493">
                  <w:marLeft w:val="0"/>
                  <w:marRight w:val="0"/>
                  <w:marTop w:val="0"/>
                  <w:marBottom w:val="0"/>
                  <w:divBdr>
                    <w:top w:val="none" w:sz="0" w:space="0" w:color="auto"/>
                    <w:left w:val="none" w:sz="0" w:space="0" w:color="auto"/>
                    <w:bottom w:val="none" w:sz="0" w:space="0" w:color="auto"/>
                    <w:right w:val="none" w:sz="0" w:space="0" w:color="auto"/>
                  </w:divBdr>
                </w:div>
                <w:div w:id="824468309">
                  <w:marLeft w:val="0"/>
                  <w:marRight w:val="0"/>
                  <w:marTop w:val="0"/>
                  <w:marBottom w:val="0"/>
                  <w:divBdr>
                    <w:top w:val="none" w:sz="0" w:space="0" w:color="auto"/>
                    <w:left w:val="none" w:sz="0" w:space="0" w:color="auto"/>
                    <w:bottom w:val="none" w:sz="0" w:space="0" w:color="auto"/>
                    <w:right w:val="none" w:sz="0" w:space="0" w:color="auto"/>
                  </w:divBdr>
                </w:div>
                <w:div w:id="1812096716">
                  <w:marLeft w:val="0"/>
                  <w:marRight w:val="0"/>
                  <w:marTop w:val="0"/>
                  <w:marBottom w:val="0"/>
                  <w:divBdr>
                    <w:top w:val="none" w:sz="0" w:space="0" w:color="auto"/>
                    <w:left w:val="none" w:sz="0" w:space="0" w:color="auto"/>
                    <w:bottom w:val="none" w:sz="0" w:space="0" w:color="auto"/>
                    <w:right w:val="none" w:sz="0" w:space="0" w:color="auto"/>
                  </w:divBdr>
                </w:div>
              </w:divsChild>
            </w:div>
            <w:div w:id="176568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6081</Words>
  <Characters>36487</Characters>
  <Application>Microsoft Office Word</Application>
  <DocSecurity>0</DocSecurity>
  <Lines>304</Lines>
  <Paragraphs>84</Paragraphs>
  <ScaleCrop>false</ScaleCrop>
  <Company/>
  <LinksUpToDate>false</LinksUpToDate>
  <CharactersWithSpaces>42484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Edyta</dc:creator>
  <cp:keywords/>
  <dc:description/>
  <cp:lastModifiedBy>Edyta</cp:lastModifiedBy>
  <cp:revision>2</cp:revision>
  <dcterms:created xsi:type="dcterms:W3CDTF">2019-06-17T12:15:00Z</dcterms:created>
  <dcterms:modified xsi:type="dcterms:W3CDTF">2019-06-17T12:15:00Z</dcterms:modified>
</cp:coreProperties>
</file>