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lear" w:pos="708"/>
          <w:tab w:val="left" w:pos="2985" w:leader="none"/>
        </w:tabs>
        <w:ind w:left="6237" w:hanging="0"/>
        <w:rPr>
          <w:rFonts w:ascii="Times New Roman" w:hAnsi="Times New Roman"/>
          <w:b/>
          <w:b/>
          <w:lang w:val="pl-PL"/>
        </w:rPr>
      </w:pPr>
      <w:bookmarkStart w:id="0" w:name="_GoBack"/>
      <w:bookmarkEnd w:id="0"/>
      <w:r>
        <w:rPr>
          <w:rFonts w:ascii="Times New Roman" w:hAnsi="Times New Roman"/>
          <w:b/>
        </w:rPr>
        <w:t>Załącznik Nr 1</w:t>
      </w:r>
      <w:r>
        <w:rPr>
          <w:rFonts w:ascii="Times New Roman" w:hAnsi="Times New Roman"/>
          <w:b/>
          <w:lang w:val="pl-PL"/>
        </w:rPr>
        <w:t>1</w:t>
      </w:r>
    </w:p>
    <w:p>
      <w:pPr>
        <w:pStyle w:val="PlainText"/>
        <w:tabs>
          <w:tab w:val="clear" w:pos="708"/>
          <w:tab w:val="left" w:pos="2985" w:leader="none"/>
        </w:tabs>
        <w:ind w:left="6237" w:hanging="0"/>
        <w:rPr>
          <w:rFonts w:ascii="Times New Roman" w:hAnsi="Times New Roman"/>
          <w:b/>
          <w:b/>
        </w:rPr>
      </w:pPr>
      <w:r>
        <w:rPr>
          <w:rFonts w:ascii="Times New Roman" w:hAnsi="Times New Roman"/>
          <w:b/>
        </w:rPr>
        <w:t xml:space="preserve">do zapytania ofertowego </w:t>
      </w:r>
    </w:p>
    <w:p>
      <w:pPr>
        <w:pStyle w:val="PlainText"/>
        <w:tabs>
          <w:tab w:val="clear" w:pos="708"/>
          <w:tab w:val="left" w:pos="2985" w:leader="none"/>
        </w:tabs>
        <w:ind w:left="6237" w:hanging="0"/>
        <w:rPr>
          <w:rFonts w:ascii="Times New Roman" w:hAnsi="Times New Roman"/>
          <w:b/>
          <w:b/>
          <w:lang w:val="pl-PL"/>
        </w:rPr>
      </w:pPr>
      <w:r>
        <w:rPr>
          <w:rFonts w:ascii="Times New Roman" w:hAnsi="Times New Roman"/>
          <w:b/>
          <w:lang w:val="pl-PL"/>
        </w:rPr>
        <w:t xml:space="preserve">na dostosowanie pomieszczeń higieniczno – sanitarnych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imes New Roman" w:ascii="Times New Roman" w:hAnsi="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UMOWA Nr ___________(projekt)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zawarta dnia _______________ 2019 r. w Niemienicach pomiędzy: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POWIATEM OPATOWSKIM – SPECJALNYM OŚRODKIEM SZKOLNO – WYCHOWAWCZYM W NIEMIENICACH</w:t>
      </w:r>
      <w:r>
        <w:rPr>
          <w:rFonts w:cs="Times New Roman" w:ascii="Times New Roman" w:hAnsi="Times New Roman"/>
          <w:color w:val="000000"/>
          <w:sz w:val="22"/>
          <w:szCs w:val="22"/>
        </w:rPr>
        <w:t>, Niemienice 95, 27-580 Sadowie, reprezentowanym przez:</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___________________ - Dyrektora, działający na podstawie upoważnienia udzielonego uchwałą Zarząd Powiatu w Opatowie Nr ________ z dnia ____________</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zwanym dalej „Zamawiającym”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a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zwaną dalej „Wykonawcą”</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zwanymi dalej również „Stronami”.</w:t>
      </w:r>
    </w:p>
    <w:p>
      <w:pPr>
        <w:pStyle w:val="Normal"/>
        <w:tabs>
          <w:tab w:val="clear" w:pos="708"/>
          <w:tab w:val="left" w:pos="284" w:leader="none"/>
        </w:tabs>
        <w:snapToGrid w:val="false"/>
        <w:spacing w:before="0" w:after="120"/>
        <w:ind w:right="-6" w:hanging="0"/>
        <w:jc w:val="both"/>
        <w:rPr>
          <w:rFonts w:ascii="Times New Roman" w:hAnsi="Times New Roman" w:cs="Times New Roman"/>
          <w:i/>
          <w:i/>
          <w:color w:val="000000"/>
          <w:sz w:val="22"/>
          <w:szCs w:val="22"/>
        </w:rPr>
      </w:pPr>
      <w:r>
        <w:rPr>
          <w:rFonts w:cs="Times New Roman" w:ascii="Times New Roman" w:hAnsi="Times New Roman"/>
          <w:i/>
          <w:color w:val="000000"/>
          <w:sz w:val="22"/>
          <w:szCs w:val="22"/>
        </w:rPr>
      </w:r>
    </w:p>
    <w:p>
      <w:pPr>
        <w:pStyle w:val="Normal"/>
        <w:tabs>
          <w:tab w:val="clear" w:pos="708"/>
          <w:tab w:val="left" w:pos="284" w:leader="none"/>
        </w:tabs>
        <w:snapToGrid w:val="false"/>
        <w:spacing w:before="0" w:after="120"/>
        <w:ind w:right="-6" w:hanging="0"/>
        <w:jc w:val="both"/>
        <w:rPr>
          <w:rFonts w:ascii="Times New Roman" w:hAnsi="Times New Roman" w:cs="Times New Roman"/>
          <w:i/>
          <w:i/>
          <w:color w:val="000000"/>
          <w:sz w:val="22"/>
          <w:szCs w:val="22"/>
        </w:rPr>
      </w:pPr>
      <w:r>
        <w:rPr>
          <w:rFonts w:cs="Times New Roman" w:ascii="Times New Roman" w:hAnsi="Times New Roman"/>
          <w:i/>
          <w:color w:val="000000"/>
          <w:sz w:val="22"/>
          <w:szCs w:val="22"/>
        </w:rPr>
        <w:t>W rezultacie dokonania przez Zamawiającego wyboru oferty Wykonawcy w zapytaniu ofertowym Nr _______________ zawarto umowę następującej treści:</w:t>
      </w:r>
    </w:p>
    <w:p>
      <w:pPr>
        <w:pStyle w:val="Normal"/>
        <w:tabs>
          <w:tab w:val="clear" w:pos="708"/>
          <w:tab w:val="left" w:pos="284" w:leader="none"/>
        </w:tabs>
        <w:snapToGrid w:val="false"/>
        <w:spacing w:before="0" w:after="120"/>
        <w:ind w:right="-6" w:hanging="0"/>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§1</w:t>
      </w:r>
    </w:p>
    <w:p>
      <w:pPr>
        <w:pStyle w:val="Normal"/>
        <w:tabs>
          <w:tab w:val="clear" w:pos="708"/>
          <w:tab w:val="left" w:pos="284" w:leader="none"/>
        </w:tabs>
        <w:snapToGrid w:val="false"/>
        <w:spacing w:before="0" w:after="120"/>
        <w:ind w:right="-6" w:hanging="0"/>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PRZEDMIOT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Zamawiający zleca, a Wykonawca przyjmuje do wykonania </w:t>
      </w:r>
      <w:r>
        <w:rPr>
          <w:rFonts w:cs="Times New Roman" w:ascii="Times New Roman" w:hAnsi="Times New Roman"/>
          <w:sz w:val="22"/>
          <w:szCs w:val="22"/>
        </w:rPr>
        <w:t>dostosowanie pomieszczeń higieniczno-sanitarnych dla potrzeb osób niepełnosprawnych, adaptacja pomieszczeń na pomieszczenia higieniczno-sanitarne, w następującym zakresie:</w:t>
      </w:r>
    </w:p>
    <w:p>
      <w:pPr>
        <w:pStyle w:val="ListParagraph"/>
        <w:numPr>
          <w:ilvl w:val="2"/>
          <w:numId w:val="1"/>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b/>
        </w:rPr>
        <w:t>Przebudowa łazienki na parterze z wykorzystaniem węzła sanitarnego do potrzeb osób niepełnosprawnych</w:t>
      </w:r>
    </w:p>
    <w:p>
      <w:pPr>
        <w:pStyle w:val="ListParagraph"/>
        <w:numPr>
          <w:ilvl w:val="2"/>
          <w:numId w:val="1"/>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b/>
        </w:rPr>
        <w:t>Przebudowa łazienki na piętrze</w:t>
      </w:r>
    </w:p>
    <w:p>
      <w:pPr>
        <w:pStyle w:val="ListParagraph"/>
        <w:numPr>
          <w:ilvl w:val="2"/>
          <w:numId w:val="1"/>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b/>
        </w:rPr>
        <w:t>Przebudowa korytarza i jego część adaptowaną na WC dla przedszkola</w:t>
      </w:r>
    </w:p>
    <w:p>
      <w:pPr>
        <w:pStyle w:val="ListParagraph"/>
        <w:numPr>
          <w:ilvl w:val="2"/>
          <w:numId w:val="1"/>
        </w:numPr>
        <w:tabs>
          <w:tab w:val="clear" w:pos="708"/>
          <w:tab w:val="left" w:pos="284" w:leader="none"/>
        </w:tabs>
        <w:snapToGrid w:val="false"/>
        <w:spacing w:lineRule="auto" w:line="240" w:before="0" w:after="120"/>
        <w:ind w:left="0" w:hanging="0"/>
        <w:jc w:val="both"/>
        <w:rPr>
          <w:rFonts w:ascii="Times New Roman" w:hAnsi="Times New Roman"/>
          <w:b/>
          <w:b/>
        </w:rPr>
      </w:pPr>
      <w:r>
        <w:rPr>
          <w:rFonts w:ascii="Times New Roman" w:hAnsi="Times New Roman"/>
          <w:b/>
        </w:rPr>
        <w:t>Branża elektryczna:</w:t>
      </w:r>
    </w:p>
    <w:p>
      <w:pPr>
        <w:pStyle w:val="ListParagraph"/>
        <w:numPr>
          <w:ilvl w:val="2"/>
          <w:numId w:val="2"/>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montaż opraw oświetleniowych w łazienkach.</w:t>
      </w:r>
    </w:p>
    <w:p>
      <w:pPr>
        <w:pStyle w:val="ListParagraph"/>
        <w:numPr>
          <w:ilvl w:val="2"/>
          <w:numId w:val="2"/>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wymiana instalacji wewnętrznych elektrycznych w łazienkach przebudowanych, budowa nowej wewnętrznej instalacji w łazience przedszkola, wymiana zaprojektowanych łączników,</w:t>
      </w:r>
    </w:p>
    <w:p>
      <w:pPr>
        <w:pStyle w:val="ListParagraph"/>
        <w:numPr>
          <w:ilvl w:val="2"/>
          <w:numId w:val="2"/>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wymiana przewodów oświetleniowych.</w:t>
      </w:r>
    </w:p>
    <w:p>
      <w:pPr>
        <w:pStyle w:val="ListParagraph"/>
        <w:numPr>
          <w:ilvl w:val="2"/>
          <w:numId w:val="1"/>
        </w:numPr>
        <w:tabs>
          <w:tab w:val="clear" w:pos="708"/>
          <w:tab w:val="left" w:pos="284" w:leader="none"/>
        </w:tabs>
        <w:snapToGrid w:val="false"/>
        <w:spacing w:lineRule="auto" w:line="240" w:before="0" w:after="120"/>
        <w:ind w:left="0" w:hanging="0"/>
        <w:jc w:val="both"/>
        <w:rPr>
          <w:rFonts w:ascii="Times New Roman" w:hAnsi="Times New Roman"/>
          <w:b/>
          <w:b/>
        </w:rPr>
      </w:pPr>
      <w:r>
        <w:rPr>
          <w:rFonts w:ascii="Times New Roman" w:hAnsi="Times New Roman"/>
          <w:b/>
        </w:rPr>
        <w:t>Branża instalacyjna:</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 xml:space="preserve">całościowa wymiana pionów wodociągowych (woda zimna, ciepła, i kanalizacyjnych) – </w:t>
        <w:br/>
        <w:t>w pomieszczeniach przebudowywanych węzłów sanitarnych,</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budowa nowej instalacji wody i kanalizacji sanitarnej z urządzeniem ciśnieniowym w łazience przedszkola z podejściami,</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wymiana podejść wody zimnej i ciepłej do urządzeń: baterie umywalkowe, baterie prysznicowe, zawory misek ustępowych, zawory pisuarów,</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wymiana podejść kanalizacyjnych od ww. urządzeń wraz z podejściami od kratek ściekowych,</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montaż przewodów wody zimnej, ciepłej i odpływów kanalizacyjnych w bruzdach ściennych do ww. urządzeń sanitarnych, wraz z wymaganymi izolacjami przewodów,</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obudowa pionów kanalizacyjnych, wodociągowych, kanałów wentylacyjnych np. płytami gips-kartonowymi,</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demontaż i montaż nowych umywalek, misek ustępowych, pisuarów,</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montaż odpływów i budowa kabin prysznicowych ,</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demontaż i montaż nowych baterii umywalkowych, prysznicowych, zaworów misek ustępowych, zaworów pisuarów, zaworów ze zwężkami do węży,</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wykucie i zamurowanie bruzd ściennych i podłogowych potrzebnych do zlokalizowania przewodów, wykłucia przebicia pod kanały wentylacyjne,</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montaż urządzeń sanitarnych w węźle sanitarnym przystosowanym dla potrzeb osób niepełnosprawnych (miska ustępowa, umywalka, poręcze, uchwyty),</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wykonanie prób szczelności instalacji wodnej i kanalizacyjnej,</w:t>
      </w:r>
    </w:p>
    <w:p>
      <w:pPr>
        <w:pStyle w:val="ListParagraph"/>
        <w:numPr>
          <w:ilvl w:val="0"/>
          <w:numId w:val="3"/>
        </w:numPr>
        <w:tabs>
          <w:tab w:val="clear" w:pos="708"/>
          <w:tab w:val="left" w:pos="284" w:leader="none"/>
        </w:tabs>
        <w:snapToGrid w:val="false"/>
        <w:spacing w:lineRule="auto" w:line="240" w:before="0" w:after="120"/>
        <w:ind w:left="0" w:hanging="0"/>
        <w:jc w:val="both"/>
        <w:rPr>
          <w:rFonts w:ascii="Times New Roman" w:hAnsi="Times New Roman"/>
        </w:rPr>
      </w:pPr>
      <w:r>
        <w:rPr>
          <w:rFonts w:ascii="Times New Roman" w:hAnsi="Times New Roman"/>
        </w:rPr>
        <w:t>obudowy grzejników w pomieszczeniach objętych pracami.</w:t>
      </w:r>
    </w:p>
    <w:p>
      <w:pPr>
        <w:pStyle w:val="Normal"/>
        <w:tabs>
          <w:tab w:val="clear" w:pos="708"/>
          <w:tab w:val="left" w:pos="284" w:leader="none"/>
        </w:tabs>
        <w:snapToGrid w:val="false"/>
        <w:spacing w:before="0" w:after="120"/>
        <w:jc w:val="both"/>
        <w:rPr>
          <w:rFonts w:ascii="Times New Roman" w:hAnsi="Times New Roman" w:cs="Times New Roman"/>
          <w:iCs/>
          <w:sz w:val="22"/>
          <w:szCs w:val="22"/>
        </w:rPr>
      </w:pPr>
      <w:r>
        <w:rPr>
          <w:rFonts w:cs="Times New Roman" w:ascii="Times New Roman" w:hAnsi="Times New Roman"/>
          <w:b/>
          <w:sz w:val="22"/>
          <w:szCs w:val="22"/>
        </w:rPr>
        <w:t xml:space="preserve">2. Przedmiot zamówienia opisano szczegółowo w dokumentacji stanowiącej załącznik Nr 1 do niniejszej umowy, </w:t>
      </w:r>
      <w:r>
        <w:rPr>
          <w:rFonts w:cs="Times New Roman" w:ascii="Times New Roman" w:hAnsi="Times New Roman"/>
          <w:color w:val="000000"/>
          <w:sz w:val="22"/>
          <w:szCs w:val="22"/>
        </w:rPr>
        <w:t>stanowiące integralną część umowy</w:t>
      </w:r>
      <w:r>
        <w:rPr>
          <w:rFonts w:cs="Times New Roman" w:ascii="Times New Roman" w:hAnsi="Times New Roman"/>
          <w:b/>
          <w:sz w:val="22"/>
          <w:szCs w:val="22"/>
        </w:rPr>
        <w:t>.</w:t>
      </w:r>
      <w:r>
        <w:rPr>
          <w:rFonts w:cs="Times New Roman" w:ascii="Times New Roman" w:hAnsi="Times New Roman"/>
          <w:sz w:val="22"/>
          <w:szCs w:val="22"/>
        </w:rPr>
        <w:t xml:space="preserve"> </w:t>
      </w:r>
      <w:r>
        <w:rPr>
          <w:rFonts w:cs="Times New Roman" w:ascii="Times New Roman" w:hAnsi="Times New Roman"/>
          <w:b/>
          <w:sz w:val="22"/>
          <w:szCs w:val="22"/>
        </w:rPr>
        <w:t xml:space="preserve"> </w:t>
      </w:r>
      <w:r>
        <w:rPr>
          <w:rFonts w:cs="Times New Roman" w:ascii="Times New Roman" w:hAnsi="Times New Roman"/>
          <w:iCs/>
          <w:sz w:val="22"/>
          <w:szCs w:val="22"/>
        </w:rPr>
        <w:t>Załączone przedmiary mają jedynie charakter informacyjny. Wykonawca po zapoznaniu się z dokumentacją projektową i innymi dokumentami jest zobowiązany do ustalenia zakresu robót niezbędnych do osiągnięcia rezultatu w zakresie opisanym powyżej.</w:t>
      </w:r>
    </w:p>
    <w:p>
      <w:pPr>
        <w:pStyle w:val="Normal"/>
        <w:tabs>
          <w:tab w:val="clear" w:pos="708"/>
          <w:tab w:val="left" w:pos="284" w:leader="none"/>
        </w:tabs>
        <w:snapToGrid w:val="false"/>
        <w:spacing w:before="0" w:after="120"/>
        <w:jc w:val="both"/>
        <w:rPr>
          <w:rFonts w:ascii="Times New Roman" w:hAnsi="Times New Roman" w:cs="Times New Roman"/>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imes New Roman" w:ascii="Times New Roman" w:hAnsi="Times New Roman"/>
          <w:i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Wybór kolorystyki należy do Zamawiającego. </w:t>
      </w:r>
    </w:p>
    <w:p>
      <w:pPr>
        <w:pStyle w:val="Normal"/>
        <w:tabs>
          <w:tab w:val="clear" w:pos="708"/>
          <w:tab w:val="left" w:pos="284" w:leader="none"/>
        </w:tabs>
        <w:snapToGrid w:val="false"/>
        <w:spacing w:before="0" w:after="120"/>
        <w:jc w:val="both"/>
        <w:rPr>
          <w:rFonts w:ascii="Times New Roman" w:hAnsi="Times New Roman" w:cs="Times New Roman"/>
          <w:sz w:val="22"/>
          <w:szCs w:val="22"/>
        </w:rPr>
      </w:pPr>
      <w:r>
        <w:rPr>
          <w:rFonts w:cs="Times New Roman" w:ascii="Times New Roman" w:hAnsi="Times New Roman"/>
          <w:iCs/>
          <w:sz w:val="22"/>
          <w:szCs w:val="22"/>
        </w:rPr>
        <w:t xml:space="preserve">4. </w:t>
      </w:r>
      <w:r>
        <w:rPr>
          <w:rFonts w:cs="Times New Roman" w:ascii="Times New Roman" w:hAnsi="Times New Roman"/>
          <w:color w:val="000000"/>
          <w:sz w:val="22"/>
          <w:szCs w:val="22"/>
        </w:rPr>
        <w:t>Roboty wykonywane będą na czynnym obiekcie i Wykonawca zobowiązany jest prowadzić</w:t>
      </w:r>
      <w:r>
        <w:rPr>
          <w:rFonts w:cs="Times New Roman" w:ascii="Times New Roman" w:hAnsi="Times New Roman"/>
          <w:sz w:val="22"/>
          <w:szCs w:val="22"/>
        </w:rPr>
        <w:t xml:space="preserve"> </w:t>
      </w:r>
      <w:r>
        <w:rPr>
          <w:rFonts w:cs="Times New Roman" w:ascii="Times New Roman" w:hAnsi="Times New Roman"/>
          <w:color w:val="000000"/>
          <w:sz w:val="22"/>
          <w:szCs w:val="22"/>
        </w:rPr>
        <w:t xml:space="preserve">prace </w:t>
        <w:br/>
        <w:t>w sposób umożliwiający wykonywanie statutowych zadań użytkownika przez cały okres</w:t>
      </w:r>
      <w:r>
        <w:rPr>
          <w:rFonts w:cs="Times New Roman" w:ascii="Times New Roman" w:hAnsi="Times New Roman"/>
          <w:sz w:val="22"/>
          <w:szCs w:val="22"/>
        </w:rPr>
        <w:t xml:space="preserve"> </w:t>
      </w:r>
      <w:r>
        <w:rPr>
          <w:rFonts w:cs="Times New Roman" w:ascii="Times New Roman" w:hAnsi="Times New Roman"/>
          <w:color w:val="000000"/>
          <w:sz w:val="22"/>
          <w:szCs w:val="22"/>
        </w:rPr>
        <w:t xml:space="preserve">prowadzenia robót.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2</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TERMIN WYKONANIA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Strony ustalają następujące terminy: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rozpoczęcia robót: dzień przekazania terenu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wykonania przedmiotu umowy: </w:t>
      </w:r>
    </w:p>
    <w:p>
      <w:pPr>
        <w:pStyle w:val="Normal"/>
        <w:tabs>
          <w:tab w:val="clear" w:pos="708"/>
          <w:tab w:val="left" w:pos="426" w:leader="none"/>
        </w:tabs>
        <w:spacing w:before="0" w:after="120"/>
        <w:ind w:right="50" w:hanging="0"/>
        <w:jc w:val="both"/>
        <w:rPr>
          <w:rFonts w:ascii="Times New Roman" w:hAnsi="Times New Roman"/>
          <w:b/>
          <w:b/>
          <w:color w:val="FF0000"/>
          <w:kern w:val="2"/>
          <w:sz w:val="22"/>
          <w:szCs w:val="22"/>
        </w:rPr>
      </w:pPr>
      <w:r>
        <w:rPr>
          <w:rFonts w:ascii="Times New Roman" w:hAnsi="Times New Roman"/>
          <w:b/>
          <w:kern w:val="2"/>
          <w:sz w:val="22"/>
          <w:szCs w:val="22"/>
        </w:rPr>
        <w:t xml:space="preserve">a) Łazienka na piętrze opisana w pkt 4.2.2. zapytania ofertowego (poz. 3 w przedmiarze) wraz z robotami elektryczni i instalacyjnymi opisanymi w pkt 4.2.4 oraz 4.2.5. zapytania ofertowego (poz. 5 i 8 w przedmiarze) w zakresie koniecznym do uruchomienia przedmiotowej łazienki (poz.  - </w:t>
      </w:r>
      <w:r>
        <w:rPr>
          <w:rFonts w:ascii="Times New Roman" w:hAnsi="Times New Roman"/>
          <w:b/>
          <w:color w:val="FF0000"/>
          <w:kern w:val="2"/>
          <w:sz w:val="22"/>
          <w:szCs w:val="22"/>
        </w:rPr>
        <w:t xml:space="preserve">od dnia podpisania umowy do dnia </w:t>
      </w:r>
      <w:r>
        <w:rPr>
          <w:rFonts w:ascii="Times New Roman" w:hAnsi="Times New Roman"/>
          <w:b/>
          <w:bCs/>
          <w:color w:val="FF0000"/>
          <w:kern w:val="2"/>
          <w:sz w:val="22"/>
          <w:szCs w:val="22"/>
        </w:rPr>
        <w:t>30 sierpnia 2019 r.</w:t>
      </w:r>
      <w:r>
        <w:rPr>
          <w:rFonts w:ascii="Times New Roman" w:hAnsi="Times New Roman"/>
          <w:b/>
          <w:color w:val="FF0000"/>
          <w:kern w:val="2"/>
          <w:sz w:val="22"/>
          <w:szCs w:val="22"/>
        </w:rPr>
        <w:t xml:space="preserve"> </w:t>
      </w:r>
    </w:p>
    <w:p>
      <w:pPr>
        <w:pStyle w:val="Normal"/>
        <w:tabs>
          <w:tab w:val="clear" w:pos="708"/>
          <w:tab w:val="left" w:pos="426" w:leader="none"/>
        </w:tabs>
        <w:spacing w:before="0" w:after="120"/>
        <w:ind w:right="50" w:hanging="0"/>
        <w:jc w:val="both"/>
        <w:rPr>
          <w:rFonts w:ascii="Times New Roman" w:hAnsi="Times New Roman"/>
          <w:b/>
          <w:b/>
          <w:color w:val="FF0000"/>
          <w:kern w:val="2"/>
          <w:sz w:val="22"/>
          <w:szCs w:val="22"/>
        </w:rPr>
      </w:pPr>
      <w:r>
        <w:rPr>
          <w:rFonts w:ascii="Times New Roman" w:hAnsi="Times New Roman"/>
          <w:b/>
          <w:kern w:val="2"/>
          <w:sz w:val="22"/>
          <w:szCs w:val="22"/>
        </w:rPr>
        <w:t>b) Łazienka na parterze opisana w pkt 4.2.1. zapytania ofertowego (poz. 2 w przedmiarze) wraz z robotami elektryczni i instalacyjnymi opisanymi w pkt 4.2.4 oraz 4.2.5. zapytania ofertowego (poz. 4 i 7 w przedmiarze) w zakresie koniecznym do uruchomienia przedmiotowej łazienki –</w:t>
      </w:r>
      <w:r>
        <w:rPr>
          <w:rFonts w:ascii="Times New Roman" w:hAnsi="Times New Roman"/>
          <w:b/>
          <w:color w:val="FF0000"/>
          <w:kern w:val="2"/>
          <w:sz w:val="22"/>
          <w:szCs w:val="22"/>
        </w:rPr>
        <w:t xml:space="preserve"> od dnia podpisania umowy do dnia 30 września 2019 r. </w:t>
      </w:r>
    </w:p>
    <w:p>
      <w:pPr>
        <w:pStyle w:val="Normal"/>
        <w:tabs>
          <w:tab w:val="clear" w:pos="708"/>
          <w:tab w:val="left" w:pos="426" w:leader="none"/>
        </w:tabs>
        <w:spacing w:before="0" w:after="120"/>
        <w:ind w:right="50" w:hanging="0"/>
        <w:jc w:val="both"/>
        <w:rPr>
          <w:rFonts w:ascii="Times New Roman" w:hAnsi="Times New Roman"/>
          <w:b/>
          <w:b/>
          <w:color w:val="FF0000"/>
          <w:kern w:val="2"/>
          <w:sz w:val="22"/>
          <w:szCs w:val="22"/>
        </w:rPr>
      </w:pPr>
      <w:r>
        <w:rPr>
          <w:rFonts w:ascii="Times New Roman" w:hAnsi="Times New Roman"/>
          <w:b/>
          <w:kern w:val="2"/>
          <w:sz w:val="22"/>
          <w:szCs w:val="22"/>
        </w:rPr>
        <w:t>c) Łazienka dla przedszkola opisana w pkt 4.2.3. zapytania ofertowego (poz. 1 w przedmiarze) wraz z robotami elektryczni i instalacyjnymi opisanymi w pkt 4.2.4 oraz 4.2.5. zapytania ofertowego (poz. 6 i 9 w przedmiarze) w zakresie koniecznym do uruchomienia przedmiotowej łazienki</w:t>
      </w:r>
      <w:r>
        <w:rPr>
          <w:rFonts w:ascii="Times New Roman" w:hAnsi="Times New Roman"/>
          <w:b/>
          <w:color w:val="FF0000"/>
          <w:kern w:val="2"/>
          <w:sz w:val="22"/>
          <w:szCs w:val="22"/>
        </w:rPr>
        <w:t xml:space="preserve"> – od dnia podpisania umowy do dnia 30 października 2019 r.</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3) przekazanie placu budowy w dniu zawarcia umowy.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Termin wykonania przedmiotu umowy, o którym mowa w ust. 1, uważa się za dotrzymany, jeżeli zostanie on odebrany zgodnie z § 11, w terminie określonym w ust. 1 pkt 2, co zostanie potwierdzone protokołem odbioru przedmiotu umowy podpisanym przez upoważnionych przedstawicieli stron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imes New Roman" w:ascii="Times New Roman" w:hAnsi="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Poszczególne elementy robót oraz wynagrodzenie ofertowe za wyszczególnione elementy robót określa kosztorys ofertowy stanowiący załącznik Nr 2 do umowy.</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3</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WYNAGRODZENIE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Wysokość wynagrodzenia wykonawcy, za wykonanie przedmiotu umowy, ustalona w oparciu o ofertę wykonawcy wynosi: netto: ………..……… zł, brutto: ………………. zł (słownie: …………………………..…....…..), z uwzględnieniem poniższych postanowień.</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Wynagrodzenie za wykonanie przedmiotu umowy obejmuje wszystkie koszty niezbędne do jego wykonania.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Ilekroć w umowie jest mowa o wynagrodzeniu należy przez to rozumieć wynagrodzenie brutto określone w ust. 1.</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W razie, gdy podczas realizacji robót okaże się, że nie jest konieczne wykonanie wszystkich robót określonych w dokumentacji, o której mowa w § 1 ust. 4 to wykonawcy przysługuje wynagrodzenie pomniejszone o koszt robót niewykonanych.</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5. Koszt robót niewykonanych zostanie ustalony na podstawie kosztorysu ofertowego Wykonawcy.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W razie zmiany umowy, z uwagi na konieczność wykonania robót dodatkowych rozliczenie tych robót, nastąpi w oparciu o ceny jednostkowe robót zawarte w kosztorysie, o którym mowa w § 2 ust. 3, a w przypadku braku takiej ceny na podstawie kosztorysu opracowanego na bazie nośników cen</w:t>
      </w:r>
      <w:r>
        <w:rPr>
          <w:rFonts w:cs="Times New Roman" w:ascii="Times New Roman" w:hAnsi="Times New Roman"/>
          <w:color w:val="0D0D0D"/>
          <w:sz w:val="22"/>
          <w:szCs w:val="22"/>
        </w:rPr>
        <w:t>,</w:t>
      </w:r>
      <w:r>
        <w:rPr>
          <w:rFonts w:cs="Times New Roman" w:ascii="Times New Roman" w:hAnsi="Times New Roman"/>
          <w:color w:val="000000"/>
          <w:sz w:val="22"/>
          <w:szCs w:val="22"/>
        </w:rPr>
        <w:t xml:space="preserve"> </w:t>
      </w:r>
      <w:r>
        <w:rPr>
          <w:rFonts w:cs="Times New Roman" w:ascii="Times New Roman" w:hAnsi="Times New Roman"/>
          <w:color w:val="0D0D0D"/>
          <w:sz w:val="22"/>
          <w:szCs w:val="22"/>
        </w:rPr>
        <w:t>na podstawie których sporządzono kosztorys:</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stawka roboczogodziny: </w:t>
      </w:r>
      <w:r>
        <w:rPr>
          <w:rFonts w:cs="Times New Roman" w:ascii="Times New Roman" w:hAnsi="Times New Roman"/>
          <w:color w:val="FF0000"/>
          <w:sz w:val="22"/>
          <w:szCs w:val="22"/>
        </w:rPr>
        <w:t>….…..</w:t>
      </w:r>
      <w:r>
        <w:rPr>
          <w:rFonts w:cs="Times New Roman" w:ascii="Times New Roman" w:hAnsi="Times New Roman"/>
          <w:color w:val="000000"/>
          <w:sz w:val="22"/>
          <w:szCs w:val="22"/>
        </w:rPr>
        <w:t>zł/r-g,</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koszty ogólne: </w:t>
      </w:r>
      <w:r>
        <w:rPr>
          <w:rFonts w:cs="Times New Roman" w:ascii="Times New Roman" w:hAnsi="Times New Roman"/>
          <w:color w:val="FF0000"/>
          <w:sz w:val="22"/>
          <w:szCs w:val="22"/>
        </w:rPr>
        <w:t>….…..</w:t>
      </w:r>
      <w:r>
        <w:rPr>
          <w:rFonts w:cs="Times New Roman" w:ascii="Times New Roman" w:hAnsi="Times New Roman"/>
          <w:color w:val="000000"/>
          <w:sz w:val="22"/>
          <w:szCs w:val="22"/>
        </w:rPr>
        <w:t>% (od R+S),</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3) koszty zakupu materiałów: </w:t>
      </w:r>
      <w:r>
        <w:rPr>
          <w:rFonts w:cs="Times New Roman" w:ascii="Times New Roman" w:hAnsi="Times New Roman"/>
          <w:color w:val="FF0000"/>
          <w:sz w:val="22"/>
          <w:szCs w:val="22"/>
        </w:rPr>
        <w:t xml:space="preserve">……… </w:t>
      </w:r>
      <w:r>
        <w:rPr>
          <w:rFonts w:cs="Times New Roman" w:ascii="Times New Roman" w:hAnsi="Times New Roman"/>
          <w:color w:val="000000"/>
          <w:sz w:val="22"/>
          <w:szCs w:val="22"/>
        </w:rPr>
        <w:t>% (do M),</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4) zysk </w:t>
      </w:r>
      <w:r>
        <w:rPr>
          <w:rFonts w:cs="Times New Roman" w:ascii="Times New Roman" w:hAnsi="Times New Roman"/>
          <w:color w:val="FF0000"/>
          <w:sz w:val="22"/>
          <w:szCs w:val="22"/>
        </w:rPr>
        <w:t xml:space="preserve">…..…. </w:t>
      </w:r>
      <w:r>
        <w:rPr>
          <w:rFonts w:cs="Times New Roman" w:ascii="Times New Roman" w:hAnsi="Times New Roman"/>
          <w:color w:val="000000"/>
          <w:sz w:val="22"/>
          <w:szCs w:val="22"/>
        </w:rPr>
        <w:t>% (do R+S+KOR+KOS),</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5) podatek VAT: </w:t>
      </w:r>
      <w:r>
        <w:rPr>
          <w:rFonts w:cs="Times New Roman" w:ascii="Times New Roman" w:hAnsi="Times New Roman"/>
          <w:color w:val="FF0000"/>
          <w:sz w:val="22"/>
          <w:szCs w:val="22"/>
        </w:rPr>
        <w:t xml:space="preserve">……… </w:t>
      </w:r>
      <w:r>
        <w:rPr>
          <w:rFonts w:cs="Times New Roman" w:ascii="Times New Roman" w:hAnsi="Times New Roman"/>
          <w:color w:val="000000"/>
          <w:sz w:val="22"/>
          <w:szCs w:val="22"/>
        </w:rPr>
        <w: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oraz udokumentowanych cen materiałów nie wyższych niż średnie ceny materiałów dla województwa świętokrzyskiego opublikowane w Wydawnictwie Sekocenbud dla kwartału, w którym wykonywane były roboty. W przypadku braku powyższych danych ceny ustalone zostaną w oparciu o trzy oferty przedstawione przez Wykonawcę.</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7. Przyjęta stawka VAT do ustalenia wynagrodzenia ustalona została w oparciu o przepisy ustawy </w:t>
        <w:br/>
        <w:t>o podatku VAT od towarów i usług obowiązujące w dniu złożenia oferty.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8. Przy wystawianiu faktur, zostanie zastosowana stawka podatku od towarów i usług obowiązująca </w:t>
        <w:br/>
        <w:t>w dniu jej wystawienia (w dniu powstania obowiązku podatkowego).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9. Wykonawca nie może dokonać przelewu przysługującej mu wierzytelności od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10. Rozliczenie Wykonawcy za roboty będzie się odbywało na podstawie faktur częściowych i faktury końcowej.</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11. Faktury częściowe mogą być wystawiane nie częściej niż raz w miesiącu.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12. Podstawą wystawienia faktur częściowych będzie protokół odbioru częściowego robót, w którym Zamawiający i Kierownik robót ze strony Wykonawcy określą rzeczywiste wykonanie i procentowe zaawansowanie w danym okresie rozliczeniowym, każdego z wykonanych elementów robót zgodnie kosztorysem ofertowym.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13. Suma faktur częściowych nie może przekroczyć wartości 80% wynagrodzenia, a pozostała część wynagrodzenia zostanie zapłacona na podstawie faktury końcowej.</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14. Podstawą wystawienia faktury końcowej jest protokół wykonanych robót i protokół odbioru końcowego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15. Termin płatności faktur wynosi do 30 dni licząc od daty otrzymania przez Zamawiającego łącznie: faktury wraz z podpisanym protokołem odbioru robót oraz dowodów na spełnienie przez Wykonawcę wymogów określonych w ust. 17.</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16. Faktury będą płatne przelewem na konto Wykonawcy w banku ……………………… nr konta …..………………. Faktura będzie wystawiona na Zamawiającego: Nabywca –Powiat Opatowski, ul. Henryka Sienkiewicza 17, 27-500 Opatów, </w:t>
      </w:r>
      <w:r>
        <w:rPr>
          <w:rFonts w:eastAsia="Times New Roman" w:cs="Times New Roman" w:ascii="Times New Roman" w:hAnsi="Times New Roman"/>
          <w:color w:val="000000"/>
          <w:sz w:val="22"/>
          <w:szCs w:val="22"/>
          <w:shd w:fill="FFFFFF" w:val="clear"/>
          <w:lang w:eastAsia="pl-PL"/>
        </w:rPr>
        <w:t>NIP: 863-168-47-10</w:t>
      </w:r>
      <w:r>
        <w:rPr>
          <w:rFonts w:eastAsia="Times New Roman" w:cs="Times New Roman" w:ascii="Times New Roman" w:hAnsi="Times New Roman"/>
          <w:color w:val="000000"/>
          <w:sz w:val="22"/>
          <w:szCs w:val="22"/>
          <w:lang w:eastAsia="pl-PL"/>
        </w:rPr>
        <w:t xml:space="preserve">, </w:t>
      </w:r>
      <w:r>
        <w:rPr>
          <w:rFonts w:eastAsia="Times New Roman" w:cs="Times New Roman" w:ascii="Times New Roman" w:hAnsi="Times New Roman"/>
          <w:color w:val="000000"/>
          <w:sz w:val="22"/>
          <w:szCs w:val="22"/>
          <w:shd w:fill="FFFFFF" w:val="clear"/>
          <w:lang w:eastAsia="pl-PL"/>
        </w:rPr>
        <w:t>REGON: 830409212</w:t>
      </w:r>
      <w:r>
        <w:rPr>
          <w:rFonts w:cs="Times New Roman" w:ascii="Times New Roman" w:hAnsi="Times New Roman"/>
          <w:color w:val="000000"/>
          <w:sz w:val="22"/>
          <w:szCs w:val="22"/>
        </w:rPr>
        <w:t xml:space="preserve">, Odbiorca faktury – SOSW w Niemienicach.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17. Warunkiem, zapłaty przez Zamawiającego drugiej i następnych części należnego wynagrodzenia za odebrane roboty budowlane jest przedstawienie Zamawiającemu przez Wykonawcę następujących dowodów zapłaty wymagalnego wynagrodzenia Podwykonawcom i dalszym Podwykonawcom, biorącym udział w realizacji odebranych robót budowlanych:</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oryginałów oświadczeń każdego z Podwykonawców oraz dalszych Podwykonawców o zapłaceniu należności przez Wykonawcę*</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18. Dokumenty składane zgodnie z ust. 17 w przypadku drugiego protokołu odbioru powinny dokumentować również zakres objęty pierwszym protokołem odbioru.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19. Wykonawca jest zobowiązany do zapłaty wynagrodzenia należnego Podwykonawcy, zaś Podwykonawca dalszemu Podwykonawcy w terminach płatności określonych w danej umowie podwykonawstwo, nie dłużej jednak niż 30 dni od dnia doręczenia Wykonawcy, Podwykonawcy faktury lub rachunku, potwierdzającego wykonanie zleconych Podwykonawcy lub dalszemu Podwykonawcy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20. W przypadku nieprzedstawienia przez wykonawcę wszystkich dowodów zapłaty, o których mowa w ust. 17, Zamawiający wystąpi do podwykonawców lub dalszych podwykonawców którzy zawarli zaakceptowaną przez Zamawiającego umowę o podwykonawstwo której przedmiotem są roboty budowlane, lub który zawarł przedłożoną Zamawiającemu umowę o podwykonawstwo, której przedmiotem są dostawy lub usługi o potwierdzenie czy wykonawca uiścił należne im wynagrodzenie wymagalne.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22. Wynagrodzenie, o którym mowa w ust. 21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23.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24. W przypadku zgłoszenia uwag, o których mowa w ust. 23, w terminie 7 dni od dnia doręczenia odpowiedzi na wezwanie, Zamawiający może: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nie dokonać bezpośredniej zapłaty wynagrodzenia Podwykonawcy lub dalszemu Podwykonawcy, jeżeli Wykonawca wykaże niezasadność takiej zapłaty, albo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złożyć do depozytu sądowego kwotę potrzebną na pokrycie wynagrodzenia Podwykonawcy lub dalszemu Podwykonawcy w przypadku istnienia zasadniczej wątpliwości Zamawiającego co do wysokości należnej zapłaty lub podmiotu, któremu płatność się należy,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dokonać bezpośredniej zapłaty wynagrodzenia Podwykonawcy lub dalszemu Podwykonawcy, jeżeli Podwykonawca lub dalszy Podwykonawca wykaże zasadność takiej zapłaty.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25. W przypadku dokonania bezpośredniej zapłaty Podwykonawcy lub dalszemu Podwykonawcy Zamawiający potrąca kwotę wypłaconego wynagrodzenia z wynagrodzenia należnego Wykonawcy, zaś pozostałą część wynagrodzenia wynikającego z faktury przekazuje 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26. Konieczność wielokrotnego dokonywania bezpośredniej zapłaty Podwykonawcy lub dalszemu Podwykonawcy, o których mowa w ust. 21, lub konieczność dokonania bezpośrednich zapłat na sumę większą niż 5% wartości umowy w sprawie zamówienia publicznego może stanowić podstawę do odstąpienia od umowy w sprawie zamówienia publicznego przez Zamawiającego.</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4</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MATERIAŁY Z ROZBIÓRKI I DEMONTAŻU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Strony określą w protokole jakie materiały zostały zdemontowane lub odzyskane w wyniku wykonania robót wyburzeniowych ze wskazaniem ilości i jakości tych materiałów.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Wykonawca zobowiązany jest na własny koszt do: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usunięcia poza teren robót materiałów z rozbiórki i demontażu, które nie nadają się do ponownego wbudowania z poszanowaniem przepisów ustawy z dnia 14 grudnia 2012 r. o odpadach oraz ponosi odpowiedzialność za powyższe działania,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segregacji materiałów zakwalifikowanych przez Przedstawiciela Zamawiającego jako surowiec wtórny,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przetransportowania materiałów zakwalifikowanych jako surowiec wtórny do punktu surowców wtórnych,</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strzeżenia mienia z odzysku, o którym mowa w ust. 2 do czasu zadysponowania tego mienia przez Przedstawiciela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4. Na Wykonawcy ciąży obowiązek poinformowania przedstawicieli Zamawiającego wskazanych </w:t>
        <w:br/>
        <w:t>w § 5 o terminie i miejscu dostarczenia materiałów zakwalifikowanych jako surowiec wtórny do punktu surowców wtórnych co najmniej 2 dni robocze przed terminem planowanej dostawy.</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5</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PRZEDSTAWICIELE ZAMAWIAJĄCEGO I 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Z ramienia Wykonawcy obowiązki kierownika robót pełnić będzie: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Kierownik robót: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Wykonawca upoważnia osoby wymienione w ust. 1. do dokonania odbiorów częściowych </w:t>
        <w:br/>
        <w:t>i końcowego robót wraz z rozliczeniem robót, do odbioru przedmiotu umowy, oraz czynności wynikających z § 4.</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Osoby, o których mowa w ust. 1 działają w granicach umocowania określonego w ustawie Prawo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4. Wykonawca jest zobowiązany przedłożyć Zamawiającemu propozycję zmiany osoby określonej </w:t>
        <w:br/>
        <w:t xml:space="preserve">w ust. 1 nie później niż 7 dni przed planowanym terminem zmiany.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6</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OBOWIĄZKI WYKONAWCY I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Do obowiązków Zamawiającego należy: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przekazanie Wykonawcy terenu robót, dokumentacji projektowej,</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organizowanie narad roboczych na budowie,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wskazanie Wykonawcy dalszego przeznaczenia zdemontowanych lub wyburzonych materiałów,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dokonanie czynności odbioru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stawianie się w terminie i miejscu uzgodnionym z Wykonawcą celem nadzoru nad dokonywanymi czynnościami dostawy materiałów zakwalifikowanych jako surowiec wtórny oraz odbioru stosownych dokumentów z tytułu dokonanej sprzedaży,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6) wybór kolorystyki.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Do obowiązków Wykonawcy należy: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opracowanie planu BIOZ,</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urządzenie, zagospodarowanie i zabezpieczenie terenu robót oraz utrzymanie w/w składników </w:t>
        <w:br/>
        <w:t>w należytym stanie, w tym zabezpieczenie terenu robót przed dostępem osób postronnych, wykonanie i utrzymanie ogrodzenia terenu robót, dojazdów oraz zapewnienie dozoru budowy,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3) wykonanie przedmiotu umowy zgodnie z umową, dokumentacją stanowiącą załącznik Nr 1 do umowy,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organizowania pracy zgodnie z warunkami bhp i socjalnymi określonymi w przepisach szczegółowych,</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przeprowadzenie prób, sprawdzeń i badań, uzyskiwanie warunków, zgód i opinii niezbędnych do wykonywania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doprowadzenia do należytego stanu i porządku terenu robót po wykonanych robotach,</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7) dostarczenie Zamawiającemu kompletu dokumentów odbiorowych określonych w §11 ust. 7.</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Wykonawca zobowiązuje się do umożliwienia wstępu na teren robót pracownikom organów państwowego nadzoru budowlanego, do których należy wykonywanie zadań określonych ustawą Prawo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Wykonawca zobowiązuje się do zabezpieczenia robót na czas ewentualnych przerw w realizacji.</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5. Materiały użyte do wykonania przedmiotu umowy powinny odpowiadać, co do jakości, wymogom wyrobów dopuszczonych do obrotu i stosowania w budownictwie stosownie do art. 10 ustawy Prawo budowlane. Na każde żądanie przedstawiciela Zamawiającego,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W przypadku przedstawienia dokumentów w języku innym niż polski Wykonawca przedstawi również obok dokumentu oryginalnego tłumaczenie na język polski.</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Wykonawca jest obowiązany informować Zamawiającego o wszystkich problemach lub okolicznościach, które mogą mieć wpływ na jakość i termin wykonania przedmiotu umowy, w tym poinformować Zamawiającego o niemożności wykonania przedmiotu umowy w terminie umownym.</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7. Wykonawca obowiązany jest stosować się do wszystkich poleceń Zamawiającego zgodnie ze dokumentacją oraz obowiązującym prawem.</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7*</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zobowiązuje się wykonać osobiście całość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7*</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PODWYKONAWCY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oświadcza, że przy pomocy podwykonawców wykona: ………………….. Pozostałe roboty wykona osobiście. Wykonawca nie może podzlecić podwykonawcy wykonania: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w:t>
        <w:br/>
        <w:t>z projektem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Wymagania dotyczące umowy o podwykonawstwo, której przedmiotem są roboty budowlane, których niespełnienie spowoduje zgłoszenie przez Zamawiającego odpowiednio zastrzeżeń lub sprzeciwu: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zapisy umowy nie mogą naruszać postanowień umowy zawartej między Wykonawcą </w:t>
        <w:br/>
        <w:t>a Zamawiającym,</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przedmiot zamówienia (zakres prac) musi być precyzyjnie określony,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termin wykonania umowy przez Podwykonawcę musi umożliwiać zakończenie wykonania robót przez Wykonawcę w terminie określonym w niniejszej umowie,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4) wynagrodzenie za roboty wykonywane przez Podwykonawcę powinno być określone precyzyjnie </w:t>
        <w:br/>
        <w:t>i nie może przekroczyć wysokości wynagrodzenia przewidzianego dla Wykonawcy, za ten zakres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umowa o podwykonawstwo nie może zawierać postanowień:</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a) uzależniających wypłatę wynagrodzenia dla Podwykonawcy od zapłaty przez Zamawiającego wynagrodzenia na rzecz Wykonawcy za zakres robót wykonanych przez Wykonawcę,</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b) uzależniających zwrot Podwykonawcy kwot zabezpieczeń przez Wykonawcę, od zwrotu zabezpieczenia wykonania umowy przez Zamawiającego na rzecz 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c) dotyczących dokonywania przez Wykonawcę zatrzymań (zmniejszeń) wynagrodzenia Podwykonawcy,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6) termin zapłaty wynagrodzenia Podwykonawcy lub dalszemu Podwykonawcy przewidziany </w:t>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Zamawiający w terminie do 14 dni od momentu otrzymania projektu umowy zgłasza pisemne zastrzeżenia do projektu umowy o podwykonawstwo, niespełniającej wymagań, której przedmiotem są roboty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5. Niezgłoszenie przez Zamawiającego pisemnych zastrzeżeń do przedłożonego projektu umowy </w:t>
        <w:br/>
        <w:t>o podwykonawstwo, której przedmiotem są roboty budowlane, uważa się za akceptację projektu umowy przez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6. Wykonawca, Podwykonawca lub dalszy Podwykonawca zamówienia na roboty budowlane przedkłada Zamawiającemu poświadczoną za zgodność z oryginałem kopię zawartej umowy </w:t>
        <w:br/>
        <w:t>o podwykonawstwo, której przedmiotem są roboty budowlane w terminie do 7 dni od dnia jej zawarcia.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7. Zamawiający w terminie 14 dni od momentu otrzymania, zgłasza pisemny sprzeciw do umowy </w:t>
        <w:br/>
        <w:t>o podwykonawstwo, której przedmiotem są roboty budowlane, w przypadkach, o których mowa w ust. 3.</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8. Niezgłoszenie pisemnego sprzeciwu do przedłożonej umowy o podwykonawstwo, której przedmiotem są roboty budowlane, w terminie określonym w ust. 7 uważa się za akceptację umowy przez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9. 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10. W przypadku, o którym mowa w ust. 9, jeżeli termin zapłaty jest dłuższy niż 30 dni, Zamawiający informuje o tym Wykonawcę i wzywa go do doprowadzenia do zmiany tej umowy pod rygorem zapłaty kary umownej.</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11. Przepisy ust. 3 - 10 stosuje się odpowiednio do zmian umowy o podwykonawstwo.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12. Każdorazowa zmiana, wprowadzenie lub rezygnacja z Podwykonawcy wymaga pisemnej zgody Zamawiającego.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13. Do zawarcia przez Podwykonawcę umowy z dalszym Podwykonawcą wymagana jest zgoda Zamawiającego i 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14. Wykonawca ponosi wobec Zamawiającego pełną odpowiedzialność za roboty, które wykonuje przy pomocy Podwykonawców.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15. Wykonawca zobowiązany jest na żądanie Zamawiającego udzielić mu wszelkich informacji dotyczących Podwykonawców.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16. Bez zgody Zamawiającego, Wykonawca nie może umożliwić Podwykonawcy wejścia na teren robót i rozpoczęcia prac.</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8</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ODPOWIEDZIALNOŚĆ 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Wykonawca ponosi odpowiedzialność za szkody wyrządzone Zamawiającemu i osobom trzecim </w:t>
        <w:br/>
        <w:t>w związku z prowadzonymi robotami lub z powodu niewykonania lub niewłaściwego wykonania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Wykonawca ponosi pełną odpowiedzialność za właściwe wykonanie robót, zapewnienie BHP. </w:t>
        <w:br/>
        <w:t>i warunków bezpieczeństwa oraz metody organizacyjno – technologiczne stosowane na terenie prowadzenia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3. Strony zgodnie ustalają, że niewywiązywanie się z przyjętych zobowiązań przewidzianych </w:t>
        <w:br/>
        <w:t>w niniejszej umowie będzie wywoływało skutki wynikające z niniejszej umowy i obowiązujących przepisów prawnych.</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9</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ODBIÓR ROBÓT ZANIKAJĄCYCH I ULEGAJĄCYCH ZAKRYCIU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jest zobowiązany zgłaszać do odbioru przez Zamawiającego wszystkie roboty, zwłaszcza roboty zanikające i ulegające zakryciu.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Warunkiem odbioru robót zanikających, ulegających zakryciu będzie zgłoszenie tych robót przez Kierownika robót pisemnie na adres e-mail Zamawiającego albo na adres siedziby Zamawiającego. Zgłoszenie powinno być dokonane z wyprzedzeniem minimum 2 dni roboczych od planowanego zakończenia robót przewidzianych do odbioru. Zamawiający przystąpi do odbioru w ciągu 2 dni roboczych licząc od daty zawiadomienia. Prawidłowość wykonanych robót zanikających i ulegających zakryciu zostanie potwierdzona przez Zamawiającego.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10</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ODBIÓR CZĘŚCIOWY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Wykonawca jest zobowiązany zgłaszać do odbioru roboty częściowe. Zamawiający przystąpi do częściowego odbioru robót niezwłocznie od otrzymania zawiadomienia nie później jednak niż </w:t>
        <w:br/>
        <w:t>w terminie 3 dni roboczych. Z czynności tej sporządzany będzie protokół częściowego odbioru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Zamawiający może odmówić podpisania protokołu częściowego odbioru robót, jeśli w zgłoszonych robotach wykryje wady lub inne niezgodności z niniejszą umową.</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Podpisanie protokołu częściowego odbioru robót stanowić będzie podstawę dla Wykonawcy do wystawienia faktury częściowej, o której mowa w § 3. Wystawienie faktury częściowej przed podpisaniem protokołu częściowego odbioru robót jest niedopuszczalne i nie rodzi dla Zamawiającego jakichkolwiek skutków prawnych lub finansowych.</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11</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ODBIÓR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z uwzględnieniem czasu na dokonanie czynności określonych poniżej zawiadomi Zamawiającego o zakończeniu robót i gotowości do odbioru przedmiotu umowy w formie pisemnej. Razem z zawiadomieniem Wykonawca przekaże: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oświadczenie kierownika robót zgodne z art. 57, ust. 1, pkt. 2 ustawy Prawo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dokumentację powykonawczą zgodnie z art. 3 pkt. 14 ustawy Prawo Budowlane,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deklarację własności użytkowych, krajowe deklaracje zgodności z Normą lub Aprobatą Techniczną dla wbudowanych materiałów,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wymagane prawem protokoły prób i sprawdzeń oraz protokoły z rozruchu urządzeń,</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Zamawiający w ciągu 7 dni od daty zawiadomienia dokona sprawdzenia czy roboty zostały zakończone, czy dokumentacja określona w ust. 1 została przedłożona i czy jest kompletna. Zakończenie robót budowlanych i dostarczenie wymienionych w ust. 1 dokumentów jest warunkiem do zawiadomienia przez Zamawiającego o możliwości odbioru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Zamawiający powoła komisję odbioru i wyznaczy termin odbioru przedmiotu umowy, który odbędzie się w ciągu 7 dni, licząc od daty zawiadomienia przez inspektora. Z odbioru zostanie spisany protokół odbioru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Jeżeli w toku czynności odbiorowych zostaną stwierdzone wady to Komisja odbioru może odmówić odbioru, jeżeli przedmiot umowy będzie wykonany niezgodnie z projektem i zasadami wiedzy technicznej, obowiązującymi przepisami lub wady będą na tyle istotne, że obiekt nie będzie się nadawał do użytkowania.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Jeżeli w toku czynności odbiorowych zostaną stwierdzone usterki i niedoróbki w protokole odbioru zostaną zawarte ustalenia co do jakości wykonanych robót, w tym ewentualny wykaz wszystkich ujawnionych usterek z terminami ich usunięcia lub oświadczeniem inwestora o obniżeniu wynagrodzenia w odpowiednim stosunku.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Częściowe odebranie danych robót, nie oznacza odbioru przedmiotu umowy i ostatecznego odbioru robót w tej części. Oznacza to w szczególności, że Zamawiający może żądać usunięcia przez Wykonawcę wszelkich usterek wykrytych lub powstałych w czasie ich prowadzenia, a odebranych częściowo, również po odbiorze częściowym, a także w ramach odbioru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7. Wykonawca zobowiązany jest przekazać Zamawiającemu wraz z fakturą końcową, następujące dokumenty potwierdzające brak zobowiązań Wykonawcy wobec Podwykonawców oraz dalszych Podwykonawców: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oryginały zbiorczych oświadczeń każdego z Podwykonawców oraz dalszych Podwykonawców </w:t>
        <w:br/>
        <w:t>o uregulowaniu wszystkich ich należności, z podaniem kwot i tytułów uregulowanych należności, przy czym każde z tych oświadczeń powinno być wystawione na dzień przypadający nie wcześniej aniżeli na następny dzień po dniu protokolarnego odbioru przedmiotu umowy.</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12</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RĘKOJMIA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Okres rękojmi i gwarancji na przedmiot umowy ustala się na 60 miesięcy od daty odbioru przedmiotu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2. W przypadku wystąpienia usterek w okresie trwania rękojmi i gwarancji Wykonawca zobowiązuje się o przystąpienia do ich usunięcia w ciągu 7 dni licząc od daty powiadomienia przez Zamawiającego </w:t>
        <w:br/>
        <w:t>w formie pisemnej.</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Termin usunięcia usterek określi Zamawiający w uzgodnieniu z Wykonawcą i Użytkownikiem.</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Z czynności usunięcia usterek Wykonawca sporządzi protokół podpisany przez Użytkownika potwierdzający skuteczność usunięcia usterki i przekaże go niezwłocznie Zamawiającemu.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Przed upływem ustalonego w umowie okresu rękojmi i gwarancji nastąpi odbiór ostateczny mający na celu ustalenie stanu robót i stwierdzenie usunięcia wad z okresu rękojmi i gwarancji oraz spisany będzie z tej czynności protokół z przeglądu.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Wykonawca zobowiązuje się przekazać Zamawiającemu wszelkie dokumenty, z których wynikają uprawnienia z tytułu gwarancji udzielonych przez dostawców wyrobów, maszyn i urządzeń, stosowanych (montowanych) przy wykonywaniu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7. Warunki udzielonej gwarancji określa karta gwarancyjna, stanowiąca załącznik Nr 3 do umowy.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13</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KARY UMOWNE I ODSZKODOWANIA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zapłaci Zamawiającemu kary umowne za: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zwłokę w wykonaniu przedmiotu umowy - w wysokości 0,1 % wynagrodzenia, za każdy dzień zwłoki,</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zwłokę w usunięciu usterek stwierdzonych w okresie rękojmi w wysokości 0,05 % wynagrodzenia, za każdy dzień zwłoki licząc od upływu terminu wyznaczonego na usunięcie wad czy usterek,</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odstąpienie od umowy przez Zamawiającego z przyczyn zależnych od Wykonawcy w wysokości 10 % wynagrodzenia,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brak realizacji robót z przyczyn zależnych od Wykonawcy dłużej niż 14 dni – w wysokości 0,1 % wynagrodzenia, za każdy dzień przerwy, licząc powyżej 14 dnia przerwy, chyba że przerwa jest uzasadniona technologicznie lub jest przewidziana w harmonogramie,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gdy roboty budowlane, wbrew postanowieniom §7 umowy będzie wykonywał Podwykonawca - w wysokości 1 % wynagrodzenia za każdy przypadek,</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za brak zapłaty lub nieterminową zapłatę wynagrodzenia należnego Podwykonawcom lub dalszym Podwykonawcom - w wysokości 1% wynagrodzenia należnego Podwykonawcy za każdy przypadek braku zapłaty lub nieterminowej zapłaty,*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7) nieprzedłożenie przez Wykonawcę do zaakceptowania projektu umowy o podwykonawstwo, której przedmiotem są roboty budowlane, lub projektu jej zmiany, w wysokości 0,5% wynagrodzenia, za każdy przypadek nieprzedłożenia,*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8) nieprzedłożenie przez Wykonawcę, podwykonawcę lub dalszego podwykonawcę poświadczonej za zgodność z oryginałem kopii umowy o podwykonawstwo lub jej zmiany - w wysokości 0,5% wynagrodzenia, za każdy przypadek nieprzedłożenia,*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9) brak zmiany umowy o podwykonawstwo w zakresie terminu zapłaty - w wysokości 0,5% wynagrodzenia, za każdy przypadek braku zmiany.*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Suma kar umownych należnych od Wykonawcy nie może przekroczyć 25 % wynagrodzenia.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Termin zapłaty należności tytułem kar umownych wynosi do 3 dni od dnia doręczenia noty obciążeniowej. W razie bezskutecznego upływu terminu naliczone zostaną odsetki ustawowe za opóźnienie.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W przypadku powstania szkody, Strony mają prawo dochodzenia odszkodowania przewyższającego wysokość kar umownych do wysokości rzeczywiście poniesionej szkody.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5. Zamawiający może dokonać potrącenia wymagalnych kar umownych z odsetkami ustawowymi za opóźnienie z wynagrodzenia Wykonawcy, składając właściwe oświadczenie, na co Wykonawca wyraża nieodwracalną zgodę.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15</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UMOWNE ODSTĄPIENIE OD UMOWY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Zamawiającemu przysługuje prawo odstąpienia od umowy w ciągu 30 dni od zaistnienia niżej wymienionych okoliczności:</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Wykonawca nie rozpoczął realizacji umowy w ciągu 14 dni od dnia przekazania terenu robót,</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Wykonawca nie realizuje z przyczyn leżących po jego stronie przedmiotu umowy i przerwa ta trwa dłużej niż 14 dni, chyba że przerwa jest uzasadniona technologicznie,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suma kar umownych przekroczyła kwotę 20 % wynagrodzenia,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uzyskania informacji, iż Wykonawca pomimo obowiązku osobistego wykonania robót budowlanych wykonuje roboty przy pomocy Podwykonawcy,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 wypadku odstąpienia od umowy strony obowiązują następujące zasady: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w terminie 14 dni od daty odstąpienia od umowy Wykonawca przy udziale Zamawiającego sporządzi inwentaryzację robót wg stanu na dzień odstąpienia,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 razie, gdy Wykonawca nie sporządzi inwentaryzacji, o której mowa w pkt 1, Zamawiający może powierzyć sporządzenie inwentaryzacji innej osobie i żądać zwrotu od Wykonawcy kosztów poniesionych z tego tytułu,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Wykonawca zabezpieczy przerwane roboty w zakresie obustronnie uzgodnionym,</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koszty zabezpieczenia przerwanych robót ponosi Wykonawca, jeżeli odstąpienie od umowy następuje z przyczyn leżących po jego stronie,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w razie, gdy Wykonawca nie zabezpieczy przerwanych robót, w sytuacji określonej w pkt 3 Zamawiający może powierzyć wykonanie zabezpieczenia innej osobie i żądać zwrotu od Wykonawcy kosztów poniesionych z tego tytułu.</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W przypadku, o którym mowa w ust. 1 pkt 2-4 Wykonawcy przysługuje wynagrodzenie za roboty budowlane wykonane do dnia odstąpienia, o ile zostały wykonane zgodnie z umową i odebrane.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5. Postanowienia ust. 3, 4 stosuje się także w sytuacji, gdy z przyczyn leżących po stronie Wykonawcy, Zamawiający odstąpił od umowy na podstawie ustawy.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6. W razie bezskutecznego upływu terminu do zapłaty należności z tytułu poniesionych przez Zamawiającego kosztów, określonych w ust. 3 pkt 2 i 5 naliczone zostaną odsetki ustawowe za opóźnienie.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7. Zamawiający może dokonać potrąceń należności z tytułu poniesionych przez niego kosztów, określonych w ust. 3 pkt. 2 i 5 wraz z odsetkami ustawowymi za opóźnienie z wynagrodzenia Wykonawcy składając właściwe oświadczenie.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8. Odstąpienie od umowy powinno nastąpić na piśmie pod rygorem nieważności i zawierać uzasadnienie.</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§16</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ZMIANY POSTANOWIEŃ UMOWY</w:t>
      </w:r>
    </w:p>
    <w:p>
      <w:pPr>
        <w:pStyle w:val="ListParagraph"/>
        <w:numPr>
          <w:ilvl w:val="0"/>
          <w:numId w:val="9"/>
        </w:numPr>
        <w:tabs>
          <w:tab w:val="clear" w:pos="708"/>
          <w:tab w:val="left" w:pos="284" w:leader="none"/>
        </w:tabs>
        <w:snapToGrid w:val="false"/>
        <w:spacing w:lineRule="auto" w:line="240" w:before="0" w:after="120"/>
        <w:ind w:left="0" w:right="-6" w:hanging="0"/>
        <w:jc w:val="both"/>
        <w:rPr>
          <w:rFonts w:ascii="Times New Roman" w:hAnsi="Times New Roman"/>
          <w:color w:val="000000"/>
        </w:rPr>
      </w:pPr>
      <w:r>
        <w:rPr>
          <w:rFonts w:ascii="Times New Roman" w:hAnsi="Times New Roman"/>
          <w:color w:val="000000"/>
        </w:rPr>
        <w:t xml:space="preserve">Zamawiający oświadcza, iż przewiduje możliwość zmian umowy w stosunku do treści oferty, na podstawie której dokonano wyboru Wykonawcy, w przypadku wystąpienia wymienionych </w:t>
        <w:br/>
        <w:t>w niniejszym paragrafie okoliczności.</w:t>
      </w:r>
    </w:p>
    <w:p>
      <w:pPr>
        <w:pStyle w:val="ListParagraph"/>
        <w:numPr>
          <w:ilvl w:val="0"/>
          <w:numId w:val="9"/>
        </w:numPr>
        <w:tabs>
          <w:tab w:val="clear" w:pos="708"/>
          <w:tab w:val="left" w:pos="284" w:leader="none"/>
        </w:tabs>
        <w:snapToGrid w:val="false"/>
        <w:spacing w:lineRule="auto" w:line="240" w:before="0" w:after="120"/>
        <w:ind w:left="0" w:right="-6" w:hanging="0"/>
        <w:jc w:val="both"/>
        <w:rPr>
          <w:rFonts w:ascii="Times New Roman" w:hAnsi="Times New Roman"/>
          <w:color w:val="000000" w:themeColor="text1"/>
        </w:rPr>
      </w:pPr>
      <w:r>
        <w:rPr>
          <w:rFonts w:ascii="Times New Roman" w:hAnsi="Times New Roman"/>
          <w:lang w:eastAsia="pl-PL"/>
        </w:rPr>
        <w:t xml:space="preserve">Dopuszcza się stosowanie robót zamiennych w następujących </w:t>
      </w:r>
      <w:r>
        <w:rPr>
          <w:rFonts w:ascii="Times New Roman" w:hAnsi="Times New Roman"/>
          <w:color w:val="000000" w:themeColor="text1"/>
          <w:lang w:eastAsia="pl-PL"/>
        </w:rPr>
        <w:t>okolicznościach:</w:t>
      </w:r>
    </w:p>
    <w:p>
      <w:pPr>
        <w:pStyle w:val="Normal"/>
        <w:numPr>
          <w:ilvl w:val="0"/>
          <w:numId w:val="4"/>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color w:val="000000" w:themeColor="text1"/>
          <w:sz w:val="22"/>
          <w:szCs w:val="22"/>
          <w:lang w:eastAsia="pl-PL"/>
        </w:rPr>
        <w:t xml:space="preserve">na wniosek Wykonawcy, za zgodą Zamawiającego, w trakcie prowadzenia robót/usług, mogą być dokonywane zmiany technologii wykonania elementów robót/usług. Dopuszcza się je tylko </w:t>
        <w:br/>
        <w:t xml:space="preserve">w przypadku, gdy proponowane przez Wykonawcę rozwiązanie jest równorzędne </w:t>
      </w:r>
      <w:r>
        <w:rPr>
          <w:rFonts w:cs="Times New Roman" w:ascii="Times New Roman" w:hAnsi="Times New Roman"/>
          <w:sz w:val="22"/>
          <w:szCs w:val="22"/>
          <w:lang w:eastAsia="pl-PL"/>
        </w:rPr>
        <w:t>lub lepsze funkcjonalnie od tego, jaki przewiduje dokumentacja. W tym przypadku Wykonawca przedstawia projekt zamienny zawierający opis proponowanych zmian wraz z rysunkami. Projekt taki wymaga akceptacji i zatwierdzenia do realizacji przez Zamawiającego,</w:t>
      </w:r>
    </w:p>
    <w:p>
      <w:pPr>
        <w:pStyle w:val="Normal"/>
        <w:numPr>
          <w:ilvl w:val="0"/>
          <w:numId w:val="4"/>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w przypadku gdy z punktu widzenia Zamawiającego zachodzi potrzeba zmiany rozwiązań technicznych wynikających z umowy Zamawiający sporządza protokół robót zamiennych, a następnie dostarcza dokumentację na te roboty,</w:t>
      </w:r>
    </w:p>
    <w:p>
      <w:pPr>
        <w:pStyle w:val="Normal"/>
        <w:numPr>
          <w:ilvl w:val="0"/>
          <w:numId w:val="4"/>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 xml:space="preserve">konieczności wykonania robót zamiennych w stosunku do przewidzianych w dokumentacji </w:t>
        <w:br/>
        <w:t>w sytuacji, gdy wykonanie tych robót będzie niezbędne do prawidłowego i zgodnego z zasadami wiedzy technicznej i obowiązującymi przepisami wykonania przedmiotu umowy,</w:t>
      </w:r>
    </w:p>
    <w:p>
      <w:pPr>
        <w:pStyle w:val="Normal"/>
        <w:numPr>
          <w:ilvl w:val="0"/>
          <w:numId w:val="4"/>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konieczność zrealizowania projektu przy zastosowaniu innych rozwiązań technicznych lub materiałowych ze względu na zmiany obowiązującego prawa, a zmiany te uniemożliwią przekazanie obiektu do użytkowania,</w:t>
      </w:r>
    </w:p>
    <w:p>
      <w:pPr>
        <w:pStyle w:val="Normal"/>
        <w:numPr>
          <w:ilvl w:val="0"/>
          <w:numId w:val="4"/>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pPr>
        <w:pStyle w:val="Normal"/>
        <w:numPr>
          <w:ilvl w:val="0"/>
          <w:numId w:val="4"/>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 xml:space="preserve">w przypadku, gdy określone w pkt 2) zmiany spowodują wzrost kosztów, roboty te będą traktowane jako dodatkowe lub uzupełniające i Zamawiający złoży na ich wykonanie dodatkowe zamówienie, </w:t>
        <w:br/>
        <w:t>w trybie wynikającym z ustawy Prawo zamówień publicznych.</w:t>
      </w:r>
    </w:p>
    <w:p>
      <w:pPr>
        <w:pStyle w:val="Normal"/>
        <w:numPr>
          <w:ilvl w:val="0"/>
          <w:numId w:val="4"/>
        </w:numPr>
        <w:tabs>
          <w:tab w:val="clear" w:pos="708"/>
          <w:tab w:val="left" w:pos="284" w:leader="none"/>
          <w:tab w:val="left" w:pos="709"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rozliczenie robót zamiennych, o których mowa w pkt 1) - 5) następuje w oparciu o czynniki cenotwórcze przedstawione w kosztorysie ofertowym Wykonawcy.  W przypadku braku w kosztorysie ofertowym cen materiałów lub urządzeń przyjmuje się za prawidłowe średnie ceny z ostatniego opublikowanego cennika sekocenbud dla woj. świętokrzyskiego lub udokumentowaną najniższą cenę      z trzech porównywalnych cen z hurtowni z tymi materiałami.</w:t>
      </w:r>
    </w:p>
    <w:p>
      <w:pPr>
        <w:pStyle w:val="Normal"/>
        <w:numPr>
          <w:ilvl w:val="0"/>
          <w:numId w:val="8"/>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Zamawiającemu przysługuje prawo zmniejszenia wynagrodzenia w przypadku:</w:t>
      </w:r>
    </w:p>
    <w:p>
      <w:pPr>
        <w:pStyle w:val="Normal"/>
        <w:numPr>
          <w:ilvl w:val="0"/>
          <w:numId w:val="5"/>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rezygnacji z części zakresu robót do wykonania,</w:t>
      </w:r>
    </w:p>
    <w:p>
      <w:pPr>
        <w:pStyle w:val="Normal"/>
        <w:numPr>
          <w:ilvl w:val="0"/>
          <w:numId w:val="5"/>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 xml:space="preserve">braku konieczności wykonania robót wynikłych z błędów stwierdzonych w dokumentacji projektowej, </w:t>
      </w:r>
    </w:p>
    <w:p>
      <w:pPr>
        <w:pStyle w:val="Normal"/>
        <w:numPr>
          <w:ilvl w:val="0"/>
          <w:numId w:val="5"/>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modyfikacji przedmiotu zamówienia w związku z wystąpieniem robót dodatkowych lub uzupełniających za roboty zaniechane,</w:t>
      </w:r>
    </w:p>
    <w:p>
      <w:pPr>
        <w:pStyle w:val="Normal"/>
        <w:numPr>
          <w:ilvl w:val="0"/>
          <w:numId w:val="5"/>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jeżeli wartość robót zamiennych będzie mniejsza od podstawowych,</w:t>
      </w:r>
    </w:p>
    <w:p>
      <w:pPr>
        <w:pStyle w:val="Normal"/>
        <w:numPr>
          <w:ilvl w:val="0"/>
          <w:numId w:val="5"/>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zmniejszenie wynagrodzenia, o którym mowa w pkt. 1) - 4) następuje w oparciu o kosztorys ofertowy,</w:t>
      </w:r>
    </w:p>
    <w:p>
      <w:pPr>
        <w:pStyle w:val="Normal"/>
        <w:numPr>
          <w:ilvl w:val="0"/>
          <w:numId w:val="5"/>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w przypadku zmiany ustawowej stawki podatku VAT.</w:t>
      </w:r>
    </w:p>
    <w:p>
      <w:pPr>
        <w:pStyle w:val="Normal"/>
        <w:numPr>
          <w:ilvl w:val="0"/>
          <w:numId w:val="8"/>
        </w:numPr>
        <w:tabs>
          <w:tab w:val="clear" w:pos="708"/>
          <w:tab w:val="left" w:pos="284" w:leader="none"/>
          <w:tab w:val="left" w:pos="709" w:leader="none"/>
        </w:tabs>
        <w:snapToGrid w:val="false"/>
        <w:spacing w:before="0" w:after="120"/>
        <w:ind w:left="0" w:hanging="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Zmiana terminu, który wymaga akceptacji Zamawiającego nastąpi w następujących okolicznościach:</w:t>
      </w:r>
    </w:p>
    <w:p>
      <w:pPr>
        <w:pStyle w:val="Normal"/>
        <w:numPr>
          <w:ilvl w:val="0"/>
          <w:numId w:val="6"/>
        </w:numPr>
        <w:tabs>
          <w:tab w:val="clear" w:pos="708"/>
          <w:tab w:val="left" w:pos="284" w:leader="none"/>
          <w:tab w:val="left" w:pos="709" w:leader="none"/>
          <w:tab w:val="left" w:pos="993" w:leader="none"/>
        </w:tabs>
        <w:snapToGrid w:val="false"/>
        <w:spacing w:before="0" w:after="120"/>
        <w:ind w:left="0" w:hanging="0"/>
        <w:jc w:val="both"/>
        <w:rPr>
          <w:rFonts w:ascii="Times New Roman" w:hAnsi="Times New Roman" w:cs="Times New Roman"/>
          <w:b/>
          <w:b/>
          <w:bCs/>
          <w:sz w:val="22"/>
          <w:szCs w:val="22"/>
          <w:lang w:eastAsia="pl-PL"/>
        </w:rPr>
      </w:pPr>
      <w:r>
        <w:rPr>
          <w:rFonts w:cs="Times New Roman" w:ascii="Times New Roman" w:hAnsi="Times New Roman"/>
          <w:bCs/>
          <w:sz w:val="22"/>
          <w:szCs w:val="22"/>
          <w:lang w:eastAsia="pl-PL"/>
        </w:rPr>
        <w:t>Zmiana terminu przewidzianego na zakończenie robót, tj</w:t>
      </w:r>
      <w:r>
        <w:rPr>
          <w:rFonts w:cs="Times New Roman" w:ascii="Times New Roman" w:hAnsi="Times New Roman"/>
          <w:b/>
          <w:bCs/>
          <w:sz w:val="22"/>
          <w:szCs w:val="22"/>
          <w:lang w:eastAsia="pl-PL"/>
        </w:rPr>
        <w:t>.:</w:t>
      </w:r>
    </w:p>
    <w:p>
      <w:pPr>
        <w:pStyle w:val="Normal"/>
        <w:numPr>
          <w:ilvl w:val="0"/>
          <w:numId w:val="7"/>
        </w:numPr>
        <w:tabs>
          <w:tab w:val="clear" w:pos="708"/>
          <w:tab w:val="left" w:pos="284" w:leader="none"/>
          <w:tab w:val="left" w:pos="993"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zmiany spowodowane warunkami atmosferycznymi w szczególności:</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sz w:val="22"/>
          <w:szCs w:val="22"/>
          <w:lang w:eastAsia="pl-PL"/>
        </w:rPr>
      </w:pPr>
      <w:r>
        <w:rPr>
          <w:rFonts w:cs="Times New Roman" w:ascii="Times New Roman" w:hAnsi="Times New Roman"/>
          <w:sz w:val="22"/>
          <w:szCs w:val="22"/>
          <w:lang w:eastAsia="pl-PL"/>
        </w:rPr>
        <w:t>-</w:t>
        <w:tab/>
        <w:t>działania siły wyższej (np. klęski żywiołowe, strajki generalne lub lokalne), mającej bezpośredni wpływ na terminowość wykonania robót,</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sz w:val="22"/>
          <w:szCs w:val="22"/>
          <w:lang w:eastAsia="pl-PL"/>
        </w:rPr>
      </w:pPr>
      <w:r>
        <w:rPr>
          <w:rFonts w:cs="Times New Roman" w:ascii="Times New Roman" w:hAnsi="Times New Roman"/>
          <w:sz w:val="22"/>
          <w:szCs w:val="22"/>
          <w:lang w:eastAsia="pl-PL"/>
        </w:rPr>
        <w:t>-</w:t>
        <w:tab/>
        <w:t>warunki atmosferyczne odbiegające od typowych dla pory roku, uniemożliwiające prowadzenie robót budowlanych,</w:t>
      </w:r>
    </w:p>
    <w:p>
      <w:pPr>
        <w:pStyle w:val="Normal"/>
        <w:numPr>
          <w:ilvl w:val="0"/>
          <w:numId w:val="7"/>
        </w:numPr>
        <w:tabs>
          <w:tab w:val="clear" w:pos="708"/>
          <w:tab w:val="left" w:pos="284" w:leader="none"/>
          <w:tab w:val="left" w:pos="993" w:leader="none"/>
        </w:tabs>
        <w:snapToGrid w:val="false"/>
        <w:spacing w:before="0" w:after="120"/>
        <w:ind w:left="0" w:hanging="0"/>
        <w:jc w:val="both"/>
        <w:rPr>
          <w:rFonts w:ascii="Times New Roman" w:hAnsi="Times New Roman" w:cs="Times New Roman"/>
          <w:sz w:val="22"/>
          <w:szCs w:val="22"/>
          <w:lang w:eastAsia="pl-PL"/>
        </w:rPr>
      </w:pPr>
      <w:r>
        <w:rPr>
          <w:rFonts w:cs="Times New Roman" w:ascii="Times New Roman" w:hAnsi="Times New Roman"/>
          <w:sz w:val="22"/>
          <w:szCs w:val="22"/>
          <w:lang w:eastAsia="pl-PL"/>
        </w:rPr>
        <w:t>konieczność usunięcia błędów lub wprowadzenie zmian w dokumentacji projektowej o czas niezbędny do ich usunięcia,</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c)</w:t>
        <w:tab/>
        <w:t xml:space="preserve">przestojów i opóźnień zawinionych przez Zamawiającego, </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d)</w:t>
        <w:tab/>
        <w:t>wystąpienia okoliczności, których strony umowy nie były w stanie przewidzieć, pomimo zachowania należytej staranności,</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 xml:space="preserve">e) </w:t>
      </w:r>
      <w:r>
        <w:rPr>
          <w:rFonts w:cs="Times New Roman" w:ascii="Times New Roman" w:hAnsi="Times New Roman"/>
          <w:color w:val="000000"/>
          <w:sz w:val="22"/>
          <w:szCs w:val="22"/>
        </w:rPr>
        <w:t xml:space="preserve">prowadzonymi równolegle robotami budowlano - montażowymi przez inne podmioty, które uniemożliwiają realizację zamówienia – o okres, w którym nie była możliwa realizacja zamówienia </w:t>
        <w:br/>
        <w:t>z tego powodu potwierdzony wpisem inspektora do dziennika robót,</w:t>
      </w:r>
    </w:p>
    <w:p>
      <w:pPr>
        <w:pStyle w:val="Normal"/>
        <w:tabs>
          <w:tab w:val="clear" w:pos="708"/>
          <w:tab w:val="left" w:pos="284" w:leader="none"/>
          <w:tab w:val="left" w:pos="709" w:leader="none"/>
          <w:tab w:val="left" w:pos="993"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 xml:space="preserve">f) </w:t>
      </w:r>
      <w:r>
        <w:rPr>
          <w:rFonts w:cs="Times New Roman" w:ascii="Times New Roman" w:hAnsi="Times New Roman"/>
          <w:color w:val="000000"/>
          <w:sz w:val="22"/>
          <w:szCs w:val="22"/>
        </w:rPr>
        <w:t xml:space="preserve">braku możliwości wykonania robót ze względu na roboty prowadzone w obiekcie czynnym, użytkowanym i związane z tym trudności z udostępnieniem poszczególnych pomieszczeń przez Użytkowników prowadzących działalność statutową lub odmowę dostępu do pomieszczeń w celu wykonania robót – o okres, w którym nie była możliwa realizacja zamówienia z tego powodu, potwierdzona przez Zamawiającego i Kierownika robót pisemnie. </w:t>
      </w:r>
    </w:p>
    <w:p>
      <w:pPr>
        <w:pStyle w:val="Normal"/>
        <w:tabs>
          <w:tab w:val="clear" w:pos="708"/>
          <w:tab w:val="left" w:pos="284" w:leader="none"/>
          <w:tab w:val="left" w:pos="709"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4.</w:t>
        <w:tab/>
        <w:t>Zmiany materiałowe, dopuszcza się wprowadzenie zmiany materiałów i urządzeń przedstawionych</w:t>
        <w:br/>
        <w:t xml:space="preserve">w ofercie pod warunkiem, że; </w:t>
      </w:r>
    </w:p>
    <w:p>
      <w:pPr>
        <w:pStyle w:val="Normal"/>
        <w:tabs>
          <w:tab w:val="clear" w:pos="708"/>
          <w:tab w:val="left" w:pos="284" w:leader="none"/>
          <w:tab w:val="left" w:pos="709"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a)</w:t>
        <w:tab/>
        <w:t xml:space="preserve">spowodują obniżenie kosztów ponoszonych przez Zamawiającego na eksploatację i konserwację wykonanego przedmiotu umowy, </w:t>
      </w:r>
    </w:p>
    <w:p>
      <w:pPr>
        <w:pStyle w:val="Normal"/>
        <w:tabs>
          <w:tab w:val="clear" w:pos="708"/>
          <w:tab w:val="left" w:pos="284" w:leader="none"/>
          <w:tab w:val="left" w:pos="709"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 xml:space="preserve">b) </w:t>
        <w:tab/>
        <w:t xml:space="preserve">wynikają z aktualizacji rozwiązań z uwagi na postęp technologiczny lub zmiany obowiązujących przepisów (następca zmienianego materiału lub urządzenia), </w:t>
      </w:r>
    </w:p>
    <w:p>
      <w:pPr>
        <w:pStyle w:val="Normal"/>
        <w:tabs>
          <w:tab w:val="clear" w:pos="708"/>
          <w:tab w:val="left" w:pos="284" w:leader="none"/>
          <w:tab w:val="left" w:pos="709"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c)</w:t>
      </w:r>
      <w:r>
        <w:rPr>
          <w:rFonts w:cs="Times New Roman" w:ascii="Times New Roman" w:hAnsi="Times New Roman"/>
          <w:b/>
          <w:bCs/>
          <w:sz w:val="22"/>
          <w:szCs w:val="22"/>
          <w:lang w:eastAsia="pl-PL"/>
        </w:rPr>
        <w:tab/>
      </w:r>
      <w:r>
        <w:rPr>
          <w:rFonts w:cs="Times New Roman" w:ascii="Times New Roman" w:hAnsi="Times New Roman"/>
          <w:bCs/>
          <w:sz w:val="22"/>
          <w:szCs w:val="22"/>
          <w:lang w:eastAsia="pl-PL"/>
        </w:rPr>
        <w:t>zmiana materiałów lub urządzeń o parametrach tożsamych lub lepszych od przyjętych w ofercie</w:t>
        <w:br/>
        <w:t xml:space="preserve"> w przypadku wycofania lub niedostępność na rynku materiału lub urządzenia oferowanego.</w:t>
      </w:r>
    </w:p>
    <w:p>
      <w:pPr>
        <w:pStyle w:val="Normal"/>
        <w:tabs>
          <w:tab w:val="clear" w:pos="708"/>
          <w:tab w:val="left" w:pos="284" w:leader="none"/>
          <w:tab w:val="left" w:pos="709" w:leader="none"/>
        </w:tabs>
        <w:snapToGrid w:val="false"/>
        <w:spacing w:before="0" w:after="120"/>
        <w:jc w:val="both"/>
        <w:rPr>
          <w:rFonts w:ascii="Times New Roman" w:hAnsi="Times New Roman" w:cs="Times New Roman"/>
          <w:bCs/>
          <w:sz w:val="22"/>
          <w:szCs w:val="22"/>
          <w:lang w:eastAsia="pl-PL"/>
        </w:rPr>
      </w:pPr>
      <w:r>
        <w:rPr>
          <w:rFonts w:cs="Times New Roman" w:ascii="Times New Roman" w:hAnsi="Times New Roman"/>
          <w:bCs/>
          <w:sz w:val="22"/>
          <w:szCs w:val="22"/>
          <w:lang w:eastAsia="pl-PL"/>
        </w:rPr>
        <w:t xml:space="preserve">5. </w:t>
      </w:r>
      <w:r>
        <w:rPr>
          <w:rFonts w:cs="Times New Roman" w:ascii="Times New Roman" w:hAnsi="Times New Roman"/>
          <w:sz w:val="22"/>
          <w:szCs w:val="22"/>
        </w:rPr>
        <w:t>Wszelkie zmiany i uzupełnienia treści umowy wymagają formy pisemnej w postaci aneksu pod rygorem nieważności, chyba że zapisy umowy stanowią inaczej.</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17</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ROZSTRZYGANIE SPORÓW</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Ewentualne spory mogące powstać na tle realizacji niniejszej umowy rozstrzygane będą przez sąd miejscowo właściwy dla Zamawiającego.</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18</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POSTANOWIENIA KOŃCOWE</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1.W sprawach nieuregulowanych umową mają zastosowanie przepisy Kodeksu Cywilnego.</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Integralną część umowy stanowi: zapytanie ofertowe, oferta wykonawcy, kosztorys.</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Załączniki do umowy stanowią:</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dokumentacja projektowa  – załącznik nr 1,</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kosztorys ofertowy – załącznik nr 2,</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karta gwarancyjna – załącznik nr 3.</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4.Wszystkie zmiany umowy wymagają formy pisemnej (aneks do umowy) pod rygorem nieważności, za wyjątkiem zmian, dla których w umowie zastrzeżono inną formę. </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19</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1. Strony ustalają adres do korespondencji, w tym doręczania oświadczeń woli stron:</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1) Zamawiający –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Wykonawca - …………………………………………… e-mail. ………………….</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2. Każda zmiana adresu, określonego w ust.1 wymaga pisemnego poinformowania drugiej strony.</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3. W razie niepoinformowania o zmianie adresu, doręczenie korespondencji pod dotychczasowy adres ma skutek doręczenia.</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4. Strony uzgadniają sposób kontaktu formalnego drogą pocztową na adresy podane w ust. 1 oraz sposób kontaktu bieżącego w ramach koordynacji procesu realizacji umowy drogą e - mailową na adresy podane w ust. 1.</w:t>
      </w:r>
    </w:p>
    <w:p>
      <w:pPr>
        <w:pStyle w:val="Normal"/>
        <w:tabs>
          <w:tab w:val="clear" w:pos="708"/>
          <w:tab w:val="left" w:pos="284" w:leader="none"/>
        </w:tabs>
        <w:snapToGrid w:val="false"/>
        <w:spacing w:before="0" w:after="120"/>
        <w:ind w:right="-6"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 20</w:t>
      </w:r>
    </w:p>
    <w:p>
      <w:pPr>
        <w:pStyle w:val="Normal"/>
        <w:tabs>
          <w:tab w:val="clear" w:pos="708"/>
          <w:tab w:val="left" w:pos="284" w:leader="none"/>
        </w:tabs>
        <w:snapToGrid w:val="false"/>
        <w:spacing w:before="0" w:after="120"/>
        <w:ind w:right="-6" w:hanging="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Umowę sporządzono w trzech jednobrzmiących egzemplarzach, w tym dwa egz. dla Zamawiającego </w:t>
        <w:br/>
        <w:t>i jeden egz. dla Wykonawcy.</w:t>
      </w:r>
    </w:p>
    <w:p>
      <w:pPr>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pStyle w:val="Normal"/>
        <w:tabs>
          <w:tab w:val="clear" w:pos="708"/>
          <w:tab w:val="left" w:pos="284" w:leader="none"/>
        </w:tabs>
        <w:snapToGrid w:val="false"/>
        <w:spacing w:before="0" w:after="120"/>
        <w:ind w:right="-6"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ind w:left="6946" w:right="-6" w:hanging="0"/>
        <w:textAlignment w:val="baseline"/>
        <w:rPr>
          <w:rFonts w:ascii="Times New Roman" w:hAnsi="Times New Roman" w:eastAsia="Times New Roman" w:cs="Times New Roman"/>
          <w:b/>
          <w:b/>
          <w:i/>
          <w:i/>
          <w:iCs/>
          <w:color w:val="000000"/>
          <w:kern w:val="2"/>
          <w:sz w:val="22"/>
          <w:szCs w:val="22"/>
          <w:lang w:eastAsia="pl-PL"/>
        </w:rPr>
      </w:pPr>
      <w:r>
        <w:rPr>
          <w:rFonts w:eastAsia="Times New Roman" w:cs="Times New Roman" w:ascii="Times New Roman" w:hAnsi="Times New Roman"/>
          <w:b/>
          <w:i/>
          <w:iCs/>
          <w:color w:val="000000"/>
          <w:kern w:val="2"/>
          <w:sz w:val="22"/>
          <w:szCs w:val="22"/>
          <w:lang w:eastAsia="pl-PL"/>
        </w:rPr>
        <w:t>Załącznik nr 3 do Umowy</w:t>
      </w:r>
    </w:p>
    <w:p>
      <w:pPr>
        <w:pStyle w:val="Nagwek1"/>
        <w:tabs>
          <w:tab w:val="clear" w:pos="708"/>
          <w:tab w:val="left" w:pos="284" w:leader="none"/>
        </w:tabs>
        <w:spacing w:before="0" w:after="0"/>
        <w:jc w:val="center"/>
        <w:rPr>
          <w:rFonts w:ascii="Times New Roman" w:hAnsi="Times New Roman"/>
          <w:i/>
          <w:i/>
          <w:iCs/>
          <w:color w:val="auto"/>
          <w:sz w:val="22"/>
          <w:szCs w:val="22"/>
        </w:rPr>
      </w:pPr>
      <w:r>
        <w:rPr>
          <w:rFonts w:ascii="Times New Roman" w:hAnsi="Times New Roman"/>
          <w:i/>
          <w:iCs/>
          <w:color w:val="auto"/>
          <w:sz w:val="22"/>
          <w:szCs w:val="22"/>
        </w:rPr>
        <w:t xml:space="preserve">                                                                                                             </w:t>
      </w:r>
      <w:r>
        <w:rPr>
          <w:rFonts w:ascii="Times New Roman" w:hAnsi="Times New Roman"/>
          <w:i/>
          <w:iCs/>
          <w:color w:val="auto"/>
          <w:sz w:val="22"/>
          <w:szCs w:val="22"/>
        </w:rPr>
        <w:t>Nr……………..2019</w:t>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tbl>
      <w:tblPr>
        <w:tblW w:w="9122" w:type="dxa"/>
        <w:jc w:val="center"/>
        <w:tblInd w:w="0" w:type="dxa"/>
        <w:tblBorders>
          <w:top w:val="single" w:sz="4" w:space="0" w:color="000000"/>
        </w:tblBorders>
        <w:shd w:fill="DBE5F1" w:val="clear"/>
        <w:tblCellMar>
          <w:top w:w="0" w:type="dxa"/>
          <w:left w:w="108" w:type="dxa"/>
          <w:bottom w:w="0" w:type="dxa"/>
          <w:right w:w="108" w:type="dxa"/>
        </w:tblCellMar>
        <w:tblLook w:firstRow="1" w:noVBand="1" w:lastRow="0" w:firstColumn="1" w:lastColumn="0" w:noHBand="0" w:val="04a0"/>
      </w:tblPr>
      <w:tblGrid>
        <w:gridCol w:w="4561"/>
        <w:gridCol w:w="4560"/>
      </w:tblGrid>
      <w:tr>
        <w:trPr>
          <w:trHeight w:val="340" w:hRule="atLeast"/>
        </w:trPr>
        <w:tc>
          <w:tcPr>
            <w:tcW w:w="9121" w:type="dxa"/>
            <w:gridSpan w:val="2"/>
            <w:tcBorders>
              <w:top w:val="single" w:sz="4" w:space="0" w:color="000000"/>
            </w:tcBorders>
            <w:shd w:color="auto" w:fill="DBE5F1" w:val="clear"/>
            <w:vAlign w:val="center"/>
          </w:tcPr>
          <w:p>
            <w:pPr>
              <w:pStyle w:val="Normal"/>
              <w:spacing w:lineRule="auto" w:line="276"/>
              <w:jc w:val="center"/>
              <w:rPr>
                <w:rFonts w:ascii="Times New Roman" w:hAnsi="Times New Roman" w:eastAsia="Calibri" w:cs="Times New Roman"/>
                <w:b/>
                <w:b/>
                <w:bCs/>
                <w:color w:val="00000A"/>
                <w:sz w:val="22"/>
                <w:szCs w:val="22"/>
              </w:rPr>
            </w:pPr>
            <w:r>
              <w:rPr>
                <w:rFonts w:eastAsia="Calibri" w:cs="Times New Roman" w:ascii="Times New Roman" w:hAnsi="Times New Roman"/>
                <w:b/>
                <w:bCs/>
                <w:color w:val="00000A"/>
                <w:sz w:val="22"/>
                <w:szCs w:val="22"/>
              </w:rPr>
              <w:t>KARTA GWARANCYJNA</w:t>
            </w:r>
          </w:p>
        </w:tc>
      </w:tr>
      <w:tr>
        <w:trPr>
          <w:trHeight w:val="340" w:hRule="atLeast"/>
        </w:trPr>
        <w:tc>
          <w:tcPr>
            <w:tcW w:w="4561" w:type="dxa"/>
            <w:tcBorders>
              <w:bottom w:val="single" w:sz="4" w:space="0" w:color="000000"/>
              <w:insideH w:val="single" w:sz="4" w:space="0" w:color="000000"/>
            </w:tcBorders>
            <w:shd w:color="auto" w:fill="DBE5F1" w:val="clear"/>
            <w:vAlign w:val="center"/>
          </w:tcPr>
          <w:p>
            <w:pPr>
              <w:pStyle w:val="Normal"/>
              <w:spacing w:lineRule="auto" w:line="276"/>
              <w:jc w:val="right"/>
              <w:rPr>
                <w:rFonts w:ascii="Times New Roman" w:hAnsi="Times New Roman" w:eastAsia="Calibri" w:cs="Times New Roman"/>
                <w:bCs/>
                <w:color w:val="00000A"/>
                <w:sz w:val="22"/>
                <w:szCs w:val="22"/>
              </w:rPr>
            </w:pPr>
            <w:r>
              <w:rPr>
                <w:rFonts w:eastAsia="Calibri" w:cs="Times New Roman" w:ascii="Times New Roman" w:hAnsi="Times New Roman"/>
                <w:bCs/>
                <w:color w:val="00000A"/>
                <w:sz w:val="22"/>
                <w:szCs w:val="22"/>
              </w:rPr>
              <w:t>sporządzona w dniu</w:t>
            </w:r>
          </w:p>
        </w:tc>
        <w:tc>
          <w:tcPr>
            <w:tcW w:w="4560" w:type="dxa"/>
            <w:tcBorders>
              <w:bottom w:val="single" w:sz="4" w:space="0" w:color="000000"/>
              <w:insideH w:val="single" w:sz="4" w:space="0" w:color="000000"/>
            </w:tcBorders>
            <w:shd w:color="auto" w:fill="DBE5F1" w:val="clear"/>
            <w:vAlign w:val="center"/>
          </w:tcPr>
          <w:p>
            <w:pPr>
              <w:pStyle w:val="Normal"/>
              <w:spacing w:lineRule="auto" w:line="276"/>
              <w:rPr>
                <w:rFonts w:ascii="Times New Roman" w:hAnsi="Times New Roman" w:eastAsia="Calibri" w:cs="Times New Roman"/>
                <w:b/>
                <w:b/>
                <w:bCs/>
                <w:color w:val="00000A"/>
                <w:sz w:val="22"/>
                <w:szCs w:val="22"/>
              </w:rPr>
            </w:pPr>
            <w:r>
              <w:rPr>
                <w:rFonts w:eastAsia="Calibri" w:cs="Times New Roman" w:ascii="Times New Roman" w:hAnsi="Times New Roman"/>
                <w:bCs/>
                <w:color w:val="00000A"/>
                <w:sz w:val="22"/>
                <w:szCs w:val="22"/>
                <w:vertAlign w:val="subscript"/>
              </w:rPr>
              <w:t>…</w:t>
            </w:r>
            <w:r>
              <w:rPr>
                <w:rFonts w:eastAsia="Calibri" w:cs="Times New Roman" w:ascii="Times New Roman" w:hAnsi="Times New Roman"/>
                <w:bCs/>
                <w:color w:val="00000A"/>
                <w:sz w:val="22"/>
                <w:szCs w:val="22"/>
                <w:vertAlign w:val="subscript"/>
              </w:rPr>
              <w:t>..………………………………..</w:t>
            </w:r>
          </w:p>
        </w:tc>
      </w:tr>
    </w:tbl>
    <w:p>
      <w:pPr>
        <w:pStyle w:val="Normal"/>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tbl>
      <w:tblPr>
        <w:tblW w:w="9432" w:type="dxa"/>
        <w:jc w:val="left"/>
        <w:tblInd w:w="0" w:type="dxa"/>
        <w:tblBorders/>
        <w:tblCellMar>
          <w:top w:w="0" w:type="dxa"/>
          <w:left w:w="108" w:type="dxa"/>
          <w:bottom w:w="0" w:type="dxa"/>
          <w:right w:w="108" w:type="dxa"/>
        </w:tblCellMar>
        <w:tblLook w:firstRow="1" w:noVBand="1" w:lastRow="0" w:firstColumn="1" w:lastColumn="0" w:noHBand="0" w:val="04a0"/>
      </w:tblPr>
      <w:tblGrid>
        <w:gridCol w:w="2092"/>
        <w:gridCol w:w="3176"/>
        <w:gridCol w:w="938"/>
        <w:gridCol w:w="3225"/>
      </w:tblGrid>
      <w:tr>
        <w:trPr>
          <w:trHeight w:val="340" w:hRule="atLeast"/>
        </w:trPr>
        <w:tc>
          <w:tcPr>
            <w:tcW w:w="2092" w:type="dxa"/>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Zamawiający:</w:t>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 xml:space="preserve">Powiat Opatowski – Specjalny Ośrodek Szkolno – Wychowawczy </w:t>
              <w:br/>
              <w:t xml:space="preserve">w Niemienicach </w:t>
            </w:r>
          </w:p>
        </w:tc>
      </w:tr>
      <w:tr>
        <w:trPr>
          <w:trHeight w:val="340" w:hRule="atLeast"/>
        </w:trPr>
        <w:tc>
          <w:tcPr>
            <w:tcW w:w="2092" w:type="dxa"/>
            <w:vMerge w:val="restart"/>
            <w:tcBorders/>
            <w:shd w:fill="auto" w:val="clea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Wykonawca:</w:t>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vertAlign w:val="subscript"/>
              </w:rPr>
              <w:t>..............................................................................................................................................................................</w:t>
            </w:r>
          </w:p>
        </w:tc>
      </w:tr>
      <w:tr>
        <w:trPr>
          <w:trHeight w:val="340" w:hRule="atLeast"/>
        </w:trPr>
        <w:tc>
          <w:tcPr>
            <w:tcW w:w="2092" w:type="dxa"/>
            <w:vMerge w:val="continue"/>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r>
      <w:tr>
        <w:trPr>
          <w:trHeight w:val="340" w:hRule="atLeast"/>
        </w:trPr>
        <w:tc>
          <w:tcPr>
            <w:tcW w:w="2092" w:type="dxa"/>
            <w:vMerge w:val="continue"/>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r>
      <w:tr>
        <w:trPr>
          <w:trHeight w:val="340" w:hRule="atLeast"/>
        </w:trPr>
        <w:tc>
          <w:tcPr>
            <w:tcW w:w="2092" w:type="dxa"/>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Umowa:</w:t>
            </w:r>
          </w:p>
        </w:tc>
        <w:tc>
          <w:tcPr>
            <w:tcW w:w="3176"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perscript"/>
              </w:rPr>
            </w:pPr>
            <w:r>
              <w:rPr>
                <w:rFonts w:eastAsia="Times New Roman" w:cs="Times New Roman" w:ascii="Times New Roman" w:hAnsi="Times New Roman"/>
                <w:sz w:val="22"/>
                <w:szCs w:val="22"/>
                <w:vertAlign w:val="subscript"/>
              </w:rPr>
              <w:t>………………………………………………</w:t>
            </w:r>
            <w:r>
              <w:rPr>
                <w:rFonts w:eastAsia="Times New Roman" w:cs="Times New Roman" w:ascii="Times New Roman" w:hAnsi="Times New Roman"/>
                <w:sz w:val="22"/>
                <w:szCs w:val="22"/>
                <w:vertAlign w:val="subscript"/>
              </w:rPr>
              <w:t>..</w:t>
            </w:r>
          </w:p>
        </w:tc>
        <w:tc>
          <w:tcPr>
            <w:tcW w:w="938" w:type="dxa"/>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z dnia:</w:t>
            </w:r>
          </w:p>
        </w:tc>
        <w:tc>
          <w:tcPr>
            <w:tcW w:w="3225"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r>
              <w:rPr>
                <w:rFonts w:eastAsia="Times New Roman" w:cs="Times New Roman" w:ascii="Times New Roman" w:hAnsi="Times New Roman"/>
                <w:sz w:val="22"/>
                <w:szCs w:val="22"/>
                <w:vertAlign w:val="subscript"/>
              </w:rPr>
              <w:t>...</w:t>
            </w:r>
          </w:p>
        </w:tc>
      </w:tr>
      <w:tr>
        <w:trPr>
          <w:trHeight w:val="340" w:hRule="atLeast"/>
        </w:trPr>
        <w:tc>
          <w:tcPr>
            <w:tcW w:w="2092" w:type="dxa"/>
            <w:tcBorders/>
            <w:shd w:fill="auto" w:val="clea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Przedmiot umowy:</w:t>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cs="Times New Roman" w:ascii="Times New Roman" w:hAnsi="Times New Roman"/>
                <w:sz w:val="22"/>
                <w:szCs w:val="22"/>
              </w:rPr>
              <w:t xml:space="preserve">dostosowanie pomieszczeń higieniczno-sanitarnych dla potrzeb osób niepełnosprawnych, adaptacja pomieszczeń na pomieszczenia higieniczno-sanitarne w Specjalnym Ośrodku Szkolno – Wychowawczym w Niemienicach </w:t>
            </w:r>
          </w:p>
        </w:tc>
      </w:tr>
      <w:tr>
        <w:trPr>
          <w:trHeight w:val="340" w:hRule="atLeast"/>
        </w:trPr>
        <w:tc>
          <w:tcPr>
            <w:tcW w:w="2092" w:type="dxa"/>
            <w:vMerge w:val="restart"/>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rPr>
              <w:t>Data odbioru końcowego:</w:t>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r>
          </w:p>
        </w:tc>
      </w:tr>
      <w:tr>
        <w:trPr>
          <w:trHeight w:val="340" w:hRule="atLeast"/>
        </w:trPr>
        <w:tc>
          <w:tcPr>
            <w:tcW w:w="2092" w:type="dxa"/>
            <w:vMerge w:val="continue"/>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r>
          </w:p>
        </w:tc>
        <w:tc>
          <w:tcPr>
            <w:tcW w:w="7339" w:type="dxa"/>
            <w:gridSpan w:val="3"/>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r>
              <w:rPr>
                <w:rFonts w:eastAsia="Times New Roman" w:cs="Times New Roman" w:ascii="Times New Roman" w:hAnsi="Times New Roman"/>
                <w:sz w:val="22"/>
                <w:szCs w:val="22"/>
                <w:vertAlign w:val="subscript"/>
              </w:rPr>
              <w:t>...</w:t>
            </w:r>
          </w:p>
        </w:tc>
      </w:tr>
    </w:tbl>
    <w:p>
      <w:pPr>
        <w:pStyle w:val="Normal"/>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napToGrid w:val="false"/>
        <w:spacing w:before="0" w:after="120"/>
        <w:jc w:val="center"/>
        <w:rPr>
          <w:rFonts w:ascii="Times New Roman" w:hAnsi="Times New Roman" w:eastAsia="Times New Roman" w:cs="Times New Roman"/>
          <w:sz w:val="22"/>
          <w:szCs w:val="22"/>
          <w:lang w:eastAsia="pl-PL"/>
        </w:rPr>
      </w:pPr>
      <w:r>
        <w:rPr>
          <w:rFonts w:eastAsia="Times New Roman" w:cs="Times New Roman" w:ascii="Times New Roman" w:hAnsi="Times New Roman"/>
          <w:b/>
          <w:sz w:val="22"/>
          <w:szCs w:val="22"/>
          <w:lang w:eastAsia="pl-PL"/>
        </w:rPr>
        <w:t>Ogólne warunki gwarancji i jakości:</w:t>
      </w:r>
    </w:p>
    <w:p>
      <w:pPr>
        <w:pStyle w:val="Normal"/>
        <w:numPr>
          <w:ilvl w:val="0"/>
          <w:numId w:val="10"/>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Wykonawca oświadcza, że objęte niniejszymi warunkami gwarancyjnymi obiekty budowlane, urządzenia ruchome, nieruchome, użyte materiały oraz roboty zostały wykonane zgodnie z umową, dokumentacją techniczną, zasadami wiedzy technicznej i przepisami techniczno-budowlanymi.</w:t>
      </w:r>
    </w:p>
    <w:p>
      <w:pPr>
        <w:pStyle w:val="Normal"/>
        <w:numPr>
          <w:ilvl w:val="0"/>
          <w:numId w:val="10"/>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Wykonawca ponosi odpowiedzialność z tytułu gwarancji jakości za wady zmniejszające wartość prawną, użytkową i techniczną wykonanych robót oraz użytych materiałów i urządzeń.</w:t>
      </w:r>
    </w:p>
    <w:p>
      <w:pPr>
        <w:pStyle w:val="Normal"/>
        <w:numPr>
          <w:ilvl w:val="0"/>
          <w:numId w:val="10"/>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Wykonawca udziela gwarancji jakości wykonania przedmiotu umowy na okres 60 miesięcy na następujących warunkach:</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 xml:space="preserve">Okres gwarancji liczy się od daty odbioru końcowego przedmiotu ww. umowy tj. od dnia: </w:t>
      </w:r>
      <w:r>
        <w:rPr>
          <w:rFonts w:eastAsia="Times New Roman" w:cs="Times New Roman" w:ascii="Times New Roman" w:hAnsi="Times New Roman"/>
          <w:sz w:val="22"/>
          <w:szCs w:val="22"/>
          <w:vertAlign w:val="subscript"/>
          <w:lang w:eastAsia="pl-PL"/>
        </w:rPr>
        <w:t>…………………..……………..……</w:t>
      </w:r>
      <w:r>
        <w:rPr>
          <w:rFonts w:eastAsia="Times New Roman" w:cs="Times New Roman" w:ascii="Times New Roman" w:hAnsi="Times New Roman"/>
          <w:sz w:val="22"/>
          <w:szCs w:val="22"/>
          <w:lang w:eastAsia="pl-PL"/>
        </w:rPr>
        <w:t xml:space="preserve"> i trwa do dnia: </w:t>
      </w:r>
      <w:r>
        <w:rPr>
          <w:rFonts w:eastAsia="Times New Roman" w:cs="Times New Roman" w:ascii="Times New Roman" w:hAnsi="Times New Roman"/>
          <w:sz w:val="22"/>
          <w:szCs w:val="22"/>
          <w:vertAlign w:val="subscript"/>
          <w:lang w:eastAsia="pl-PL"/>
        </w:rPr>
        <w:t>…………………………..……..……</w:t>
      </w:r>
      <w:r>
        <w:rPr>
          <w:rFonts w:eastAsia="Times New Roman" w:cs="Times New Roman" w:ascii="Times New Roman" w:hAnsi="Times New Roman"/>
          <w:sz w:val="22"/>
          <w:szCs w:val="22"/>
          <w:lang w:eastAsia="pl-PL"/>
        </w:rPr>
        <w:t xml:space="preserve">. </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 xml:space="preserve">Niniejsza gwarancja stanowi rozszerzenie odpowiedzialności Wykonawcy przedmiotu umowy </w:t>
        <w:br/>
        <w:t>z tytułu rękojmi. Jej termin biegnie wraz z terminem rękojmi. W czasie związania terminem gwarancji Wykonawca zobowiązuje się do bezpłatnego usuwania wad przedmiotu umowy (wykonanych robót oraz dostarczonych i wbudowanych materiałów, wyrobów budowlanych, urządzeń i podzespołów).</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O wystąpieniu wad Zamawiający powiadomi Wykonawcę – Gwaranta w formie pisemnej podając rodzaje stwierdzonej wady.</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 przypadku, gdy wykonany przedmiot umowy ma wady, Zamawiający może żądać ich usunięcia wyznaczając w tym celu Wykonawcy odpowiedni termin. Jeżeli stwierdzone wady uniemożliwiałyby użytkowanie obiektu/obiektów, przystąpienie do usunięcia wad nastąpi niezwłocznie, tj. w terminie do 48 godzin od powiadomienia.</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Fakt usunięcia wad zostanie potwierdzony w spisanym obustronnie protokole.</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Gdy wady usunąć się nie dadzą albo, gdy z okoliczności wynika, że Wykonawca nie zdoła ich usunąć w czasie odpowiednim, Zamawiający może wykonać naprawę sam lub przez osoby trzecie na koszt Wykonawcy, po uprzednim pisemnym zawiadomieniu go o tym bez utraty przez Zamawiającego uprawnień wynikających z gwarancji lub rękojmi.</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 przypadku wystąpienia wad materiałów, wyrobów budowlanych, które będą się powtarzały, bądź których nie da się usunąć, nastąpi ich wymiana na koszt Wykonawcy.</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Odpowiedzialność Wykonawcy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Wykonawca jest odpowiedzialny za wszelkie szkody i straty, które spowodował w czasie prac nad usuwaniem wad.</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Termin gwarancji ulega przedłużeniu o czas, w ciągu, którego wskutek wady przedmiotu objętego gwarancją Zamawiający z gwarancji nie mógł korzystać.</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 przypadku reklamacji wady Wykonawca na swój koszt przedstawi dowód uwalniający Wykonawcę od odpowiedzialności za wystąpienie wady.</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Prawa i obowiązki stron, które nie są uregulowane w niniejszej Karcie Gwarancyjnej regulowane będą w oparciu o przepisy Kodeksu cywilnego, Prawa budowlanego oraz inne obowiązujące przepisy prawa.</w:t>
      </w:r>
    </w:p>
    <w:p>
      <w:pPr>
        <w:pStyle w:val="Normal"/>
        <w:numPr>
          <w:ilvl w:val="1"/>
          <w:numId w:val="11"/>
        </w:numPr>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color w:val="000000"/>
          <w:sz w:val="22"/>
          <w:szCs w:val="22"/>
          <w:lang w:eastAsia="pl-PL"/>
        </w:rPr>
        <w:t>Koszty związane z naprawami, przeglądami serwisowymi, wymianą części, w tym również wysyłką w okresie gwarancji ponosić będzie Wykonawca.</w:t>
      </w:r>
    </w:p>
    <w:p>
      <w:pPr>
        <w:pStyle w:val="Normal"/>
        <w:snapToGrid w:val="false"/>
        <w:spacing w:before="0" w:after="120"/>
        <w:jc w:val="both"/>
        <w:rPr>
          <w:rFonts w:ascii="Times New Roman" w:hAnsi="Times New Roman" w:eastAsia="Times New Roman" w:cs="Times New Roman"/>
          <w:color w:val="000000"/>
          <w:sz w:val="22"/>
          <w:szCs w:val="22"/>
          <w:lang w:eastAsia="pl-PL"/>
        </w:rPr>
      </w:pPr>
      <w:r>
        <w:rPr>
          <w:rFonts w:eastAsia="Times New Roman" w:cs="Times New Roman" w:ascii="Times New Roman" w:hAnsi="Times New Roman"/>
          <w:color w:val="000000"/>
          <w:sz w:val="22"/>
          <w:szCs w:val="22"/>
          <w:lang w:eastAsia="pl-PL"/>
        </w:rPr>
      </w:r>
    </w:p>
    <w:p>
      <w:pPr>
        <w:pStyle w:val="Normal"/>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napToGrid w:val="false"/>
        <w:spacing w:before="0" w:after="120"/>
        <w:jc w:val="both"/>
        <w:rPr>
          <w:rFonts w:ascii="Times New Roman" w:hAnsi="Times New Roman" w:eastAsia="Times New Roman" w:cs="Times New Roman"/>
          <w:sz w:val="22"/>
          <w:szCs w:val="22"/>
          <w:lang w:eastAsia="pl-PL"/>
        </w:rPr>
      </w:pPr>
      <w:r>
        <w:rPr>
          <w:rFonts w:eastAsia="Times New Roman" w:cs="Times New Roman" w:ascii="Times New Roman" w:hAnsi="Times New Roman"/>
          <w:b/>
          <w:sz w:val="22"/>
          <w:szCs w:val="22"/>
          <w:lang w:eastAsia="pl-PL"/>
        </w:rPr>
        <w:t>Warunki gwarancji podpisali:</w:t>
      </w:r>
    </w:p>
    <w:tbl>
      <w:tblPr>
        <w:tblW w:w="9272" w:type="dxa"/>
        <w:jc w:val="left"/>
        <w:tblInd w:w="0" w:type="dxa"/>
        <w:tblBorders/>
        <w:tblCellMar>
          <w:top w:w="0" w:type="dxa"/>
          <w:left w:w="108" w:type="dxa"/>
          <w:bottom w:w="0" w:type="dxa"/>
          <w:right w:w="108" w:type="dxa"/>
        </w:tblCellMar>
        <w:tblLook w:firstRow="1" w:noVBand="1" w:lastRow="0" w:firstColumn="1" w:lastColumn="0" w:noHBand="0" w:val="04a0"/>
      </w:tblPr>
      <w:tblGrid>
        <w:gridCol w:w="7095"/>
        <w:gridCol w:w="2176"/>
      </w:tblGrid>
      <w:tr>
        <w:trPr>
          <w:trHeight w:val="340" w:hRule="atLeast"/>
        </w:trPr>
        <w:tc>
          <w:tcPr>
            <w:tcW w:w="9271" w:type="dxa"/>
            <w:gridSpan w:val="2"/>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Udzielający gwarancji jakości upoważniony przedstawiciel Wykonawcy:</w:t>
            </w:r>
          </w:p>
        </w:tc>
      </w:tr>
      <w:tr>
        <w:trPr>
          <w:trHeight w:val="340" w:hRule="atLeast"/>
        </w:trPr>
        <w:tc>
          <w:tcPr>
            <w:tcW w:w="7095"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c>
          <w:tcPr>
            <w:tcW w:w="2176"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 xml:space="preserve">        ………………………………</w:t>
            </w:r>
            <w:r>
              <w:rPr>
                <w:rFonts w:eastAsia="Times New Roman" w:cs="Times New Roman" w:ascii="Times New Roman" w:hAnsi="Times New Roman"/>
                <w:sz w:val="22"/>
                <w:szCs w:val="22"/>
                <w:vertAlign w:val="subscript"/>
              </w:rPr>
              <w:t>.</w:t>
            </w:r>
          </w:p>
        </w:tc>
      </w:tr>
      <w:tr>
        <w:trPr>
          <w:trHeight w:val="340" w:hRule="atLeast"/>
        </w:trPr>
        <w:tc>
          <w:tcPr>
            <w:tcW w:w="7095"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c>
          <w:tcPr>
            <w:tcW w:w="2176" w:type="dxa"/>
            <w:tcBorders/>
            <w:shd w:fill="auto" w:val="clear"/>
            <w:vAlign w:val="center"/>
          </w:tcPr>
          <w:p>
            <w:pPr>
              <w:pStyle w:val="Normal"/>
              <w:snapToGrid w:val="false"/>
              <w:spacing w:before="0" w:after="12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(podpis)</w:t>
            </w:r>
          </w:p>
        </w:tc>
      </w:tr>
      <w:tr>
        <w:trPr>
          <w:trHeight w:val="340" w:hRule="atLeast"/>
        </w:trPr>
        <w:tc>
          <w:tcPr>
            <w:tcW w:w="9271" w:type="dxa"/>
            <w:gridSpan w:val="2"/>
            <w:tcBorders/>
            <w:shd w:fill="auto" w:val="clear"/>
            <w:vAlign w:val="center"/>
          </w:tcPr>
          <w:p>
            <w:pPr>
              <w:pStyle w:val="Normal"/>
              <w:snapToGrid w:val="false"/>
              <w:spacing w:before="0" w:after="120"/>
              <w:rPr>
                <w:rFonts w:ascii="Times New Roman" w:hAnsi="Times New Roman" w:eastAsia="Times New Roman" w:cs="Times New Roman"/>
                <w:sz w:val="22"/>
                <w:szCs w:val="22"/>
              </w:rPr>
            </w:pPr>
            <w:r>
              <w:rPr>
                <w:rFonts w:eastAsia="Times New Roman" w:cs="Times New Roman" w:ascii="Times New Roman" w:hAnsi="Times New Roman"/>
                <w:sz w:val="22"/>
                <w:szCs w:val="22"/>
              </w:rPr>
              <w:t>Przyjmujący gwarancję jakości upoważniony przedstawiciel Zamawiającego:</w:t>
            </w:r>
          </w:p>
        </w:tc>
      </w:tr>
      <w:tr>
        <w:trPr>
          <w:trHeight w:val="340" w:hRule="atLeast"/>
        </w:trPr>
        <w:tc>
          <w:tcPr>
            <w:tcW w:w="7095"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c>
          <w:tcPr>
            <w:tcW w:w="2176" w:type="dxa"/>
            <w:tcBorders/>
            <w:shd w:fill="auto" w:val="clear"/>
            <w:vAlign w:val="center"/>
          </w:tcPr>
          <w:p>
            <w:pPr>
              <w:pStyle w:val="Normal"/>
              <w:snapToGrid w:val="false"/>
              <w:spacing w:before="0" w:after="12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vertAlign w:val="subscript"/>
              </w:rPr>
              <w:t>………………………………</w:t>
            </w:r>
            <w:r>
              <w:rPr>
                <w:rFonts w:eastAsia="Times New Roman" w:cs="Times New Roman" w:ascii="Times New Roman" w:hAnsi="Times New Roman"/>
                <w:sz w:val="22"/>
                <w:szCs w:val="22"/>
                <w:vertAlign w:val="subscript"/>
              </w:rPr>
              <w:t>.</w:t>
            </w:r>
          </w:p>
        </w:tc>
      </w:tr>
      <w:tr>
        <w:trPr>
          <w:trHeight w:val="340" w:hRule="atLeast"/>
        </w:trPr>
        <w:tc>
          <w:tcPr>
            <w:tcW w:w="7095" w:type="dxa"/>
            <w:tcBorders/>
            <w:shd w:fill="auto" w:val="clear"/>
            <w:vAlign w:val="center"/>
          </w:tcPr>
          <w:p>
            <w:pPr>
              <w:pStyle w:val="Normal"/>
              <w:snapToGrid w:val="false"/>
              <w:spacing w:before="0" w:after="120"/>
              <w:rPr>
                <w:rFonts w:ascii="Times New Roman" w:hAnsi="Times New Roman" w:eastAsia="Times New Roman" w:cs="Times New Roman"/>
                <w:sz w:val="22"/>
                <w:szCs w:val="22"/>
                <w:vertAlign w:val="subscript"/>
              </w:rPr>
            </w:pPr>
            <w:r>
              <w:rPr>
                <w:rFonts w:eastAsia="Times New Roman" w:cs="Times New Roman" w:ascii="Times New Roman" w:hAnsi="Times New Roman"/>
                <w:sz w:val="22"/>
                <w:szCs w:val="22"/>
                <w:vertAlign w:val="subscript"/>
              </w:rPr>
              <w:t>............................................................................................................................................................................</w:t>
            </w:r>
          </w:p>
        </w:tc>
        <w:tc>
          <w:tcPr>
            <w:tcW w:w="2176" w:type="dxa"/>
            <w:tcBorders/>
            <w:shd w:fill="auto" w:val="clear"/>
            <w:vAlign w:val="center"/>
          </w:tcPr>
          <w:p>
            <w:pPr>
              <w:pStyle w:val="Normal"/>
              <w:snapToGrid w:val="false"/>
              <w:spacing w:before="0" w:after="12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(podpis)</w:t>
            </w:r>
          </w:p>
        </w:tc>
      </w:tr>
    </w:tbl>
    <w:p>
      <w:pPr>
        <w:pStyle w:val="Normal"/>
        <w:snapToGrid w:val="false"/>
        <w:spacing w:before="0" w:after="120"/>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clear" w:pos="708"/>
          <w:tab w:val="left" w:pos="284" w:leader="none"/>
        </w:tabs>
        <w:snapToGrid w:val="false"/>
        <w:spacing w:before="0" w:after="120"/>
        <w:ind w:right="-6" w:hanging="0"/>
        <w:jc w:val="both"/>
        <w:rPr/>
      </w:pPr>
      <w:r>
        <w:rPr/>
      </w:r>
    </w:p>
    <w:sectPr>
      <w:headerReference w:type="default" r:id="rId4"/>
      <w:footerReference w:type="default" r:id="rId5"/>
      <w:type w:val="nextPage"/>
      <w:pgSz w:w="11906" w:h="16838"/>
      <w:pgMar w:left="1134" w:right="1134" w:header="142" w:top="1134" w:footer="708"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swiss"/>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00521282"/>
    </w:sdtPr>
    <w:sdtContent>
      <w:p>
        <w:pPr>
          <w:pStyle w:val="Stopka"/>
          <w:rPr/>
        </w:pPr>
        <w:r>
          <w:rPr>
            <w:rStyle w:val="Pagenumber"/>
            <w:sz w:val="22"/>
            <w:szCs w:val="22"/>
          </w:rPr>
          <w:fldChar w:fldCharType="begin"/>
        </w:r>
        <w:r>
          <w:rPr>
            <w:rStyle w:val="Pagenumber"/>
            <w:sz w:val="22"/>
            <w:szCs w:val="22"/>
          </w:rPr>
          <w:instrText> PAGE </w:instrText>
        </w:r>
        <w:r>
          <w:rPr>
            <w:rStyle w:val="Pagenumber"/>
            <w:sz w:val="22"/>
            <w:szCs w:val="22"/>
          </w:rPr>
          <w:fldChar w:fldCharType="separate"/>
        </w:r>
        <w:r>
          <w:rPr>
            <w:rStyle w:val="Pagenumber"/>
            <w:sz w:val="22"/>
            <w:szCs w:val="22"/>
          </w:rPr>
          <w:t>8</w:t>
        </w:r>
        <w:r>
          <w:rPr>
            <w:rStyle w:val="Pagenumber"/>
            <w:sz w:val="22"/>
            <w:szCs w:val="22"/>
          </w:rPr>
          <w:fldChar w:fldCharType="end"/>
        </w:r>
      </w:p>
    </w:sdtContent>
  </w:sdt>
  <w:p>
    <w:pPr>
      <w:pStyle w:val="Stopka"/>
      <w:ind w:right="360" w:hanging="0"/>
      <w:rPr>
        <w:sz w:val="22"/>
        <w:szCs w:val="22"/>
      </w:rPr>
    </w:pPr>
    <w:r>
      <w:rPr>
        <w:sz w:val="22"/>
        <w:szCs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943935"/>
    </w:sdtPr>
    <w:sdtContent>
      <w:p>
        <w:pPr>
          <w:pStyle w:val="Stopka"/>
          <w:rPr/>
        </w:pPr>
        <w:r>
          <w:rPr>
            <w:rStyle w:val="Pagenumber"/>
            <w:sz w:val="22"/>
            <w:szCs w:val="22"/>
          </w:rPr>
          <w:fldChar w:fldCharType="begin"/>
        </w:r>
        <w:r>
          <w:rPr>
            <w:rStyle w:val="Pagenumber"/>
            <w:sz w:val="22"/>
            <w:szCs w:val="22"/>
          </w:rPr>
          <w:instrText> PAGE </w:instrText>
        </w:r>
        <w:r>
          <w:rPr>
            <w:rStyle w:val="Pagenumber"/>
            <w:sz w:val="22"/>
            <w:szCs w:val="22"/>
          </w:rPr>
          <w:fldChar w:fldCharType="separate"/>
        </w:r>
        <w:r>
          <w:rPr>
            <w:rStyle w:val="Pagenumber"/>
            <w:sz w:val="22"/>
            <w:szCs w:val="22"/>
          </w:rPr>
          <w:t>15</w:t>
        </w:r>
        <w:r>
          <w:rPr>
            <w:rStyle w:val="Pagenumber"/>
            <w:sz w:val="22"/>
            <w:szCs w:val="22"/>
          </w:rPr>
          <w:fldChar w:fldCharType="end"/>
        </w:r>
      </w:p>
    </w:sdtContent>
  </w:sdt>
  <w:p>
    <w:pPr>
      <w:pStyle w:val="Stopka"/>
      <w:ind w:right="360" w:hanging="0"/>
      <w:rPr>
        <w:sz w:val="22"/>
        <w:szCs w:val="22"/>
      </w:rPr>
    </w:pPr>
    <w:r>
      <w:rPr>
        <w:sz w:val="22"/>
        <w:szCs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2044065" distB="1924685" distL="2159000" distR="2030095" simplePos="0" locked="0" layoutInCell="1" allowOverlap="1" relativeHeight="35" wp14:anchorId="6EB3849E">
              <wp:simplePos x="0" y="0"/>
              <wp:positionH relativeFrom="column">
                <wp:posOffset>2218055</wp:posOffset>
              </wp:positionH>
              <wp:positionV relativeFrom="paragraph">
                <wp:posOffset>-156845</wp:posOffset>
              </wp:positionV>
              <wp:extent cx="1047750" cy="601980"/>
              <wp:effectExtent l="292100" t="292100" r="260985" b="274955"/>
              <wp:wrapNone/>
              <wp:docPr id="1" name="Obraz 23"/>
              <a:graphic xmlns:a="http://schemas.openxmlformats.org/drawingml/2006/main">
                <a:graphicData uri="http://schemas.openxmlformats.org/drawingml/2006/picture">
                  <pic:pic xmlns:pic="http://schemas.openxmlformats.org/drawingml/2006/picture">
                    <pic:nvPicPr>
                      <pic:cNvPr id="0" name="Obraz 23" descr=""/>
                      <pic:cNvPicPr/>
                    </pic:nvPicPr>
                    <pic:blipFill>
                      <a:blip r:embed="rId1"/>
                      <a:stretch/>
                    </pic:blipFill>
                    <pic:spPr>
                      <a:xfrm>
                        <a:off x="0" y="0"/>
                        <a:ext cx="1047240" cy="601200"/>
                      </a:xfrm>
                      <a:prstGeom prst="rect">
                        <a:avLst/>
                      </a:prstGeom>
                      <a:ln w="88920">
                        <a:solidFill>
                          <a:srgbClr val="ffffff"/>
                        </a:solidFill>
                        <a:miter/>
                      </a:ln>
                      <a:effectLst>
                        <a:outerShdw algn="tl" blurRad="254000" rotWithShape="0">
                          <a:srgbClr val="000000">
                            <a:alpha val="43000"/>
                          </a:srgbClr>
                        </a:outerShdw>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braz 23" stroked="t" style="position:absolute;margin-left:174.65pt;margin-top:-12.35pt;width:82.4pt;height:47.3pt" wp14:anchorId="6EB3849E" type="shapetype_75">
              <v:imagedata r:id="rId1" o:detectmouseclick="t"/>
              <w10:wrap type="none"/>
              <v:stroke color="white" weight="88920" joinstyle="miter" endcap="flat"/>
              <v:shadow on="t" obscured="f" color="black"/>
            </v:shape>
          </w:pict>
        </mc:Fallback>
      </mc:AlternateContent>
      <w:drawing>
        <wp:anchor behindDoc="1" distT="0" distB="0" distL="114300" distR="114300" simplePos="0" locked="0" layoutInCell="1" allowOverlap="1" relativeHeight="21">
          <wp:simplePos x="0" y="0"/>
          <wp:positionH relativeFrom="column">
            <wp:posOffset>156210</wp:posOffset>
          </wp:positionH>
          <wp:positionV relativeFrom="paragraph">
            <wp:posOffset>-253365</wp:posOffset>
          </wp:positionV>
          <wp:extent cx="749300" cy="869315"/>
          <wp:effectExtent l="0" t="0" r="0" b="0"/>
          <wp:wrapNone/>
          <wp:docPr id="2" name="Obraz 1" descr="herb 1 top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herb 1 topór"/>
                  <pic:cNvPicPr>
                    <a:picLocks noChangeAspect="1" noChangeArrowheads="1"/>
                  </pic:cNvPicPr>
                </pic:nvPicPr>
                <pic:blipFill>
                  <a:blip r:embed="rId2"/>
                  <a:stretch>
                    <a:fillRect/>
                  </a:stretch>
                </pic:blipFill>
                <pic:spPr bwMode="auto">
                  <a:xfrm>
                    <a:off x="0" y="0"/>
                    <a:ext cx="749300" cy="869315"/>
                  </a:xfrm>
                  <a:prstGeom prst="rect">
                    <a:avLst/>
                  </a:prstGeom>
                </pic:spPr>
              </pic:pic>
            </a:graphicData>
          </a:graphic>
        </wp:anchor>
      </w:drawing>
      <w:drawing>
        <wp:anchor behindDoc="1" distT="0" distB="0" distL="114300" distR="114300" simplePos="0" locked="0" layoutInCell="1" allowOverlap="1" relativeHeight="49">
          <wp:simplePos x="0" y="0"/>
          <wp:positionH relativeFrom="column">
            <wp:posOffset>4375150</wp:posOffset>
          </wp:positionH>
          <wp:positionV relativeFrom="paragraph">
            <wp:posOffset>-203835</wp:posOffset>
          </wp:positionV>
          <wp:extent cx="1568450" cy="762000"/>
          <wp:effectExtent l="0" t="0" r="0" b="0"/>
          <wp:wrapNone/>
          <wp:docPr id="3" name="Obraz2" descr="PaÅstwowy Fundusz Rehabilitacji OsÃ³b NiepeÅ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PaÅstwowy Fundusz Rehabilitacji OsÃ³b NiepeÅnosprawnych"/>
                  <pic:cNvPicPr>
                    <a:picLocks noChangeAspect="1" noChangeArrowheads="1"/>
                  </pic:cNvPicPr>
                </pic:nvPicPr>
                <pic:blipFill>
                  <a:blip r:embed="rId3"/>
                  <a:stretch>
                    <a:fillRect/>
                  </a:stretch>
                </pic:blipFill>
                <pic:spPr bwMode="auto">
                  <a:xfrm>
                    <a:off x="0" y="0"/>
                    <a:ext cx="1568450" cy="762000"/>
                  </a:xfrm>
                  <a:prstGeom prst="rect">
                    <a:avLst/>
                  </a:prstGeom>
                </pic:spPr>
              </pic:pic>
            </a:graphicData>
          </a:graphic>
        </wp:anchor>
      </w:drawing>
    </w:r>
  </w:p>
  <w:p>
    <w:pPr>
      <w:pStyle w:val="Normal"/>
      <w:rPr>
        <w:rFonts w:ascii="Times New Roman" w:hAnsi="Times New Roman" w:eastAsia="Times New Roman"/>
        <w:lang w:eastAsia="pl-PL"/>
      </w:rPr>
    </w:pPr>
    <w:r>
      <w:rPr>
        <w:rFonts w:eastAsia="Times New Roman" w:ascii="Times New Roman" w:hAnsi="Times New Roman"/>
        <w:lang w:eastAsia="pl-PL"/>
      </w:rPr>
    </w:r>
  </w:p>
  <w:p>
    <w:pPr>
      <w:pStyle w:val="Gwka"/>
      <w:tabs>
        <w:tab w:val="clear" w:pos="4536"/>
        <w:tab w:val="clear" w:pos="9072"/>
        <w:tab w:val="left" w:pos="3200" w:leader="none"/>
      </w:tabs>
      <w:rPr/>
    </w:pPr>
    <w:r>
      <w:rPr/>
      <w:tab/>
    </w:r>
  </w:p>
  <w:tbl>
    <w:tblPr>
      <w:tblW w:w="9066" w:type="dxa"/>
      <w:jc w:val="left"/>
      <w:tblInd w:w="0" w:type="dxa"/>
      <w:tblBorders>
        <w:bottom w:val="single" w:sz="12" w:space="0" w:color="4472C4"/>
        <w:insideH w:val="single" w:sz="12" w:space="0" w:color="4472C4"/>
      </w:tblBorders>
      <w:tblCellMar>
        <w:top w:w="0" w:type="dxa"/>
        <w:left w:w="108" w:type="dxa"/>
        <w:bottom w:w="0" w:type="dxa"/>
        <w:right w:w="108" w:type="dxa"/>
      </w:tblCellMar>
      <w:tblLook w:firstRow="1" w:noVBand="1" w:lastRow="0" w:firstColumn="1" w:lastColumn="0" w:noHBand="0" w:val="04a0"/>
    </w:tblPr>
    <w:tblGrid>
      <w:gridCol w:w="9066"/>
    </w:tblGrid>
    <w:tr>
      <w:trPr/>
      <w:tc>
        <w:tcPr>
          <w:tcW w:w="9066" w:type="dxa"/>
          <w:tcBorders>
            <w:bottom w:val="single" w:sz="12" w:space="0" w:color="4472C4"/>
            <w:insideH w:val="single" w:sz="12" w:space="0" w:color="4472C4"/>
          </w:tcBorders>
          <w:shd w:fill="auto" w:val="clear"/>
        </w:tcPr>
        <w:p>
          <w:pPr>
            <w:pStyle w:val="Gwka"/>
            <w:widowControl w:val="false"/>
            <w:tabs>
              <w:tab w:val="clear" w:pos="4536"/>
              <w:tab w:val="clear" w:pos="9072"/>
              <w:tab w:val="left" w:pos="3200" w:leader="none"/>
            </w:tabs>
            <w:rPr>
              <w:sz w:val="10"/>
              <w:szCs w:val="10"/>
            </w:rPr>
          </w:pPr>
          <w:r>
            <w:rPr>
              <w:sz w:val="10"/>
              <w:szCs w:val="10"/>
            </w:rPr>
          </w:r>
        </w:p>
      </w:tc>
    </w:tr>
  </w:tbl>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p>
    <w:pPr>
      <w:pStyle w:val="Gwka"/>
      <w:rPr/>
    </w:pPr>
    <w:r>
      <w:rPr/>
    </w:r>
  </w:p>
  <w:p>
    <w:pPr>
      <w:pStyle w:val="Gwka"/>
      <w:rPr/>
    </w:pPr>
    <w:r>
      <w:rPr/>
    </w:r>
  </w:p>
  <w:p>
    <w:pPr>
      <w:pStyle w:val="Gwka"/>
      <w:rPr/>
    </w:pPr>
    <w:r>
      <w:rPr/>
      <mc:AlternateContent>
        <mc:Choice Requires="wps">
          <w:drawing>
            <wp:anchor behindDoc="1" distT="2044065" distB="1924685" distL="2159000" distR="2030095" simplePos="0" locked="0" layoutInCell="1" allowOverlap="1" relativeHeight="5" wp14:anchorId="6EB3849E">
              <wp:simplePos x="0" y="0"/>
              <wp:positionH relativeFrom="column">
                <wp:posOffset>2218055</wp:posOffset>
              </wp:positionH>
              <wp:positionV relativeFrom="paragraph">
                <wp:posOffset>-156845</wp:posOffset>
              </wp:positionV>
              <wp:extent cx="1047750" cy="601980"/>
              <wp:effectExtent l="292100" t="292100" r="260985" b="274955"/>
              <wp:wrapNone/>
              <wp:docPr id="4" name="Obraz 23"/>
              <a:graphic xmlns:a="http://schemas.openxmlformats.org/drawingml/2006/main">
                <a:graphicData uri="http://schemas.openxmlformats.org/drawingml/2006/picture">
                  <pic:pic xmlns:pic="http://schemas.openxmlformats.org/drawingml/2006/picture">
                    <pic:nvPicPr>
                      <pic:cNvPr id="1" name="Obraz 23" descr=""/>
                      <pic:cNvPicPr/>
                    </pic:nvPicPr>
                    <pic:blipFill>
                      <a:blip r:embed="rId1"/>
                      <a:stretch/>
                    </pic:blipFill>
                    <pic:spPr>
                      <a:xfrm>
                        <a:off x="0" y="0"/>
                        <a:ext cx="1047240" cy="601200"/>
                      </a:xfrm>
                      <a:prstGeom prst="rect">
                        <a:avLst/>
                      </a:prstGeom>
                      <a:ln w="88920">
                        <a:solidFill>
                          <a:srgbClr val="ffffff"/>
                        </a:solidFill>
                        <a:miter/>
                      </a:ln>
                      <a:effectLst>
                        <a:outerShdw algn="tl" blurRad="254000" rotWithShape="0">
                          <a:srgbClr val="000000">
                            <a:alpha val="43000"/>
                          </a:srgbClr>
                        </a:outerShdw>
                      </a:effectLst>
                    </pic:spPr>
                  </pic:pic>
                </a:graphicData>
              </a:graphic>
            </wp:anchor>
          </w:drawing>
        </mc:Choice>
        <mc:Fallback>
          <w:pict>
            <v:shape id="shape_0" ID="Obraz 23" stroked="t" style="position:absolute;margin-left:174.65pt;margin-top:-12.35pt;width:82.4pt;height:47.3pt" wp14:anchorId="6EB3849E" type="shapetype_75">
              <v:imagedata r:id="rId1" o:detectmouseclick="t"/>
              <w10:wrap type="none"/>
              <v:stroke color="white" weight="88920" joinstyle="miter" endcap="flat"/>
              <v:shadow on="t" obscured="f" color="black"/>
            </v:shape>
          </w:pict>
        </mc:Fallback>
      </mc:AlternateContent>
      <w:drawing>
        <wp:anchor behindDoc="1" distT="0" distB="0" distL="114300" distR="114300" simplePos="0" locked="0" layoutInCell="1" allowOverlap="1" relativeHeight="3">
          <wp:simplePos x="0" y="0"/>
          <wp:positionH relativeFrom="column">
            <wp:posOffset>156210</wp:posOffset>
          </wp:positionH>
          <wp:positionV relativeFrom="paragraph">
            <wp:posOffset>-253365</wp:posOffset>
          </wp:positionV>
          <wp:extent cx="749300" cy="869315"/>
          <wp:effectExtent l="0" t="0" r="0" b="0"/>
          <wp:wrapNone/>
          <wp:docPr id="5" name="Obraz3" descr="herb 1 topó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herb 1 topór"/>
                  <pic:cNvPicPr>
                    <a:picLocks noChangeAspect="1" noChangeArrowheads="1"/>
                  </pic:cNvPicPr>
                </pic:nvPicPr>
                <pic:blipFill>
                  <a:blip r:embed="rId2"/>
                  <a:stretch>
                    <a:fillRect/>
                  </a:stretch>
                </pic:blipFill>
                <pic:spPr bwMode="auto">
                  <a:xfrm>
                    <a:off x="0" y="0"/>
                    <a:ext cx="749300" cy="869315"/>
                  </a:xfrm>
                  <a:prstGeom prst="rect">
                    <a:avLst/>
                  </a:prstGeom>
                </pic:spPr>
              </pic:pic>
            </a:graphicData>
          </a:graphic>
        </wp:anchor>
      </w:drawing>
      <w:drawing>
        <wp:anchor behindDoc="1" distT="0" distB="0" distL="114300" distR="114300" simplePos="0" locked="0" layoutInCell="1" allowOverlap="1" relativeHeight="7">
          <wp:simplePos x="0" y="0"/>
          <wp:positionH relativeFrom="column">
            <wp:posOffset>4375150</wp:posOffset>
          </wp:positionH>
          <wp:positionV relativeFrom="paragraph">
            <wp:posOffset>-203835</wp:posOffset>
          </wp:positionV>
          <wp:extent cx="1568450" cy="762000"/>
          <wp:effectExtent l="0" t="0" r="0" b="0"/>
          <wp:wrapNone/>
          <wp:docPr id="6" name="Obraz4" descr="PaÅstwowy Fundusz Rehabilitacji OsÃ³b NiepeÅ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descr="PaÅstwowy Fundusz Rehabilitacji OsÃ³b NiepeÅnosprawnych"/>
                  <pic:cNvPicPr>
                    <a:picLocks noChangeAspect="1" noChangeArrowheads="1"/>
                  </pic:cNvPicPr>
                </pic:nvPicPr>
                <pic:blipFill>
                  <a:blip r:embed="rId3"/>
                  <a:stretch>
                    <a:fillRect/>
                  </a:stretch>
                </pic:blipFill>
                <pic:spPr bwMode="auto">
                  <a:xfrm>
                    <a:off x="0" y="0"/>
                    <a:ext cx="1568450" cy="762000"/>
                  </a:xfrm>
                  <a:prstGeom prst="rect">
                    <a:avLst/>
                  </a:prstGeom>
                </pic:spPr>
              </pic:pic>
            </a:graphicData>
          </a:graphic>
        </wp:anchor>
      </w:drawing>
    </w:r>
  </w:p>
  <w:p>
    <w:pPr>
      <w:pStyle w:val="Normal"/>
      <w:rPr>
        <w:rFonts w:ascii="Times New Roman" w:hAnsi="Times New Roman" w:eastAsia="Times New Roman"/>
        <w:lang w:eastAsia="pl-PL"/>
      </w:rPr>
    </w:pPr>
    <w:r>
      <w:rPr>
        <w:rFonts w:eastAsia="Times New Roman" w:ascii="Times New Roman" w:hAnsi="Times New Roman"/>
        <w:lang w:eastAsia="pl-PL"/>
      </w:rPr>
    </w:r>
  </w:p>
  <w:p>
    <w:pPr>
      <w:pStyle w:val="Gwka"/>
      <w:tabs>
        <w:tab w:val="clear" w:pos="4536"/>
        <w:tab w:val="clear" w:pos="9072"/>
        <w:tab w:val="left" w:pos="3200" w:leader="none"/>
      </w:tabs>
      <w:rPr/>
    </w:pPr>
    <w:r>
      <w:rPr/>
      <w:tab/>
    </w:r>
  </w:p>
  <w:tbl>
    <w:tblPr>
      <w:tblW w:w="9778" w:type="dxa"/>
      <w:jc w:val="left"/>
      <w:tblInd w:w="0" w:type="dxa"/>
      <w:tblBorders>
        <w:bottom w:val="single" w:sz="12" w:space="0" w:color="4472C4"/>
        <w:insideH w:val="single" w:sz="12" w:space="0" w:color="4472C4"/>
      </w:tblBorders>
      <w:tblCellMar>
        <w:top w:w="0" w:type="dxa"/>
        <w:left w:w="108" w:type="dxa"/>
        <w:bottom w:w="0" w:type="dxa"/>
        <w:right w:w="108" w:type="dxa"/>
      </w:tblCellMar>
      <w:tblLook w:firstRow="1" w:noVBand="1" w:lastRow="0" w:firstColumn="1" w:lastColumn="0" w:noHBand="0" w:val="04a0"/>
    </w:tblPr>
    <w:tblGrid>
      <w:gridCol w:w="9778"/>
    </w:tblGrid>
    <w:tr>
      <w:trPr/>
      <w:tc>
        <w:tcPr>
          <w:tcW w:w="9778" w:type="dxa"/>
          <w:tcBorders>
            <w:bottom w:val="single" w:sz="12" w:space="0" w:color="4472C4"/>
            <w:insideH w:val="single" w:sz="12" w:space="0" w:color="4472C4"/>
          </w:tcBorders>
          <w:shd w:fill="auto" w:val="clear"/>
        </w:tcPr>
        <w:p>
          <w:pPr>
            <w:pStyle w:val="Gwka"/>
            <w:widowControl w:val="false"/>
            <w:tabs>
              <w:tab w:val="clear" w:pos="4536"/>
              <w:tab w:val="clear" w:pos="9072"/>
              <w:tab w:val="left" w:pos="3200" w:leader="none"/>
            </w:tabs>
            <w:rPr>
              <w:sz w:val="10"/>
              <w:szCs w:val="10"/>
            </w:rPr>
          </w:pPr>
          <w:r>
            <w:rPr>
              <w:sz w:val="10"/>
              <w:szCs w:val="10"/>
            </w:rPr>
          </w:r>
        </w:p>
      </w:tc>
    </w:tr>
  </w:tbl>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3)"/>
      <w:lvlJc w:val="left"/>
      <w:pPr>
        <w:ind w:left="360" w:hanging="360"/>
      </w:pPr>
      <w:rPr>
        <w:b/>
        <w:rFonts w:ascii="Times New Roman" w:hAnsi="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4"/>
      <w:numFmt w:val="decimal"/>
      <w:lvlText w:val="%1."/>
      <w:lvlJc w:val="left"/>
      <w:pPr>
        <w:ind w:left="540" w:hanging="540"/>
      </w:pPr>
    </w:lvl>
    <w:lvl w:ilvl="1">
      <w:start w:val="2"/>
      <w:numFmt w:val="decimal"/>
      <w:lvlText w:val="%1.%2."/>
      <w:lvlJc w:val="left"/>
      <w:pPr>
        <w:ind w:left="540" w:hanging="540"/>
      </w:pPr>
    </w:lvl>
    <w:lvl w:ilvl="2">
      <w:start w:val="1"/>
      <w:numFmt w:val="bullet"/>
      <w:lvlText w:val="-"/>
      <w:lvlJc w:val="left"/>
      <w:pPr>
        <w:ind w:left="360" w:hanging="360"/>
      </w:pPr>
      <w:rPr>
        <w:rFonts w:ascii="OpenSymbol" w:hAnsi="OpenSymbol" w:cs="Open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decimal"/>
      <w:lvlText w:val="%1)"/>
      <w:lvlJc w:val="left"/>
      <w:pPr>
        <w:ind w:left="1353" w:hanging="360"/>
      </w:pPr>
      <w:rPr>
        <w:sz w:val="22"/>
        <w:b/>
        <w:rFonts w:ascii="Times New Roman" w:hAnsi="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8">
    <w:lvl w:ilvl="0">
      <w:start w:val="3"/>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lvl>
    <w:lvl w:ilvl="1">
      <w:start w:val="1"/>
      <w:numFmt w:val="bullet"/>
      <w:lvlText w:val=""/>
      <w:lvlJc w:val="left"/>
      <w:pPr>
        <w:ind w:left="1125" w:hanging="405"/>
      </w:pPr>
      <w:rPr>
        <w:rFonts w:ascii="Symbol" w:hAnsi="Symbol" w:cs="Symbol" w:hint="default"/>
        <w:rFonts w:cs="Times New Roman"/>
      </w:rPr>
    </w:lvl>
    <w:lvl w:ilvl="2">
      <w:start w:val="1"/>
      <w:numFmt w:val="lowerRoman"/>
      <w:lvlText w:val="%3."/>
      <w:lvlJc w:val="right"/>
      <w:pPr>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paragraph" w:styleId="Nagwek1">
    <w:name w:val="Heading 1"/>
    <w:basedOn w:val="Normal"/>
    <w:next w:val="Normal"/>
    <w:link w:val="Nagwek1Znak"/>
    <w:uiPriority w:val="9"/>
    <w:qFormat/>
    <w:rsid w:val="00e97ea8"/>
    <w:pPr>
      <w:keepNext w:val="true"/>
      <w:keepLines/>
      <w:spacing w:lineRule="auto" w:line="276" w:before="480" w:after="0"/>
      <w:outlineLvl w:val="0"/>
    </w:pPr>
    <w:rPr>
      <w:rFonts w:ascii="Cambria" w:hAnsi="Cambria" w:eastAsia="Times New Roman" w:cs="Times New Roman"/>
      <w:b/>
      <w:bCs/>
      <w:color w:val="A5A5A5"/>
      <w:sz w:val="28"/>
      <w:szCs w:val="28"/>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04198f"/>
    <w:rPr/>
  </w:style>
  <w:style w:type="character" w:styleId="Pagenumber">
    <w:name w:val="page number"/>
    <w:basedOn w:val="DefaultParagraphFont"/>
    <w:uiPriority w:val="99"/>
    <w:semiHidden/>
    <w:unhideWhenUsed/>
    <w:qFormat/>
    <w:rsid w:val="0004198f"/>
    <w:rPr/>
  </w:style>
  <w:style w:type="character" w:styleId="NagwekZnak" w:customStyle="1">
    <w:name w:val="Nagłówek Znak"/>
    <w:basedOn w:val="DefaultParagraphFont"/>
    <w:link w:val="Nagwek"/>
    <w:uiPriority w:val="99"/>
    <w:qFormat/>
    <w:rsid w:val="0004198f"/>
    <w:rPr/>
  </w:style>
  <w:style w:type="character" w:styleId="Nagwek1Znak" w:customStyle="1">
    <w:name w:val="Nagłówek 1 Znak"/>
    <w:basedOn w:val="DefaultParagraphFont"/>
    <w:link w:val="Nagwek1"/>
    <w:uiPriority w:val="9"/>
    <w:qFormat/>
    <w:rsid w:val="00e97ea8"/>
    <w:rPr>
      <w:rFonts w:ascii="Cambria" w:hAnsi="Cambria" w:eastAsia="Times New Roman" w:cs="Times New Roman"/>
      <w:b/>
      <w:bCs/>
      <w:color w:val="A5A5A5"/>
      <w:sz w:val="28"/>
      <w:szCs w:val="28"/>
    </w:rPr>
  </w:style>
  <w:style w:type="character" w:styleId="TekstdymkaZnak" w:customStyle="1">
    <w:name w:val="Tekst dymka Znak"/>
    <w:basedOn w:val="DefaultParagraphFont"/>
    <w:link w:val="Tekstdymka"/>
    <w:uiPriority w:val="99"/>
    <w:semiHidden/>
    <w:qFormat/>
    <w:rsid w:val="00e97ea8"/>
    <w:rPr>
      <w:rFonts w:ascii="Times New Roman" w:hAnsi="Times New Roman" w:cs="Times New Roman"/>
      <w:sz w:val="18"/>
      <w:szCs w:val="18"/>
    </w:rPr>
  </w:style>
  <w:style w:type="character" w:styleId="ZwykytekstZnak" w:customStyle="1">
    <w:name w:val="Zwykły tekst Znak"/>
    <w:basedOn w:val="DefaultParagraphFont"/>
    <w:link w:val="Zwykytekst"/>
    <w:semiHidden/>
    <w:qFormat/>
    <w:rsid w:val="0032541a"/>
    <w:rPr>
      <w:rFonts w:ascii="Courier New" w:hAnsi="Courier New" w:eastAsia="Times New Roman" w:cs="Times New Roman"/>
      <w:sz w:val="20"/>
      <w:szCs w:val="20"/>
      <w:lang w:val="x-none" w:eastAsia="x-none"/>
    </w:rPr>
  </w:style>
  <w:style w:type="character" w:styleId="ListLabel1">
    <w:name w:val="ListLabel 1"/>
    <w:qFormat/>
    <w:rPr>
      <w:rFonts w:ascii="Times New Roman" w:hAnsi="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b/>
      <w:sz w:val="22"/>
    </w:rPr>
  </w:style>
  <w:style w:type="character" w:styleId="ListLabel6">
    <w:name w:val="ListLabel 6"/>
    <w:qFormat/>
    <w:rPr>
      <w:rFonts w:eastAsia="Times New Roman"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04198f"/>
    <w:pPr>
      <w:widowControl w:val="false"/>
      <w:bidi w:val="0"/>
      <w:jc w:val="left"/>
    </w:pPr>
    <w:rPr>
      <w:rFonts w:ascii="Times New Roman" w:hAnsi="Times New Roman" w:eastAsia="Times New Roman" w:cs="Times New Roman"/>
      <w:color w:val="auto"/>
      <w:kern w:val="0"/>
      <w:sz w:val="24"/>
      <w:szCs w:val="24"/>
      <w:lang w:eastAsia="pl-PL" w:val="pl-PL" w:bidi="ar-SA"/>
    </w:rPr>
  </w:style>
  <w:style w:type="paragraph" w:styleId="ListParagraph">
    <w:name w:val="List Paragraph"/>
    <w:basedOn w:val="Normal"/>
    <w:uiPriority w:val="34"/>
    <w:qFormat/>
    <w:rsid w:val="0004198f"/>
    <w:pPr>
      <w:spacing w:lineRule="auto" w:line="259" w:before="0" w:after="160"/>
      <w:ind w:left="720" w:hanging="0"/>
      <w:contextualSpacing/>
    </w:pPr>
    <w:rPr>
      <w:rFonts w:ascii="Calibri" w:hAnsi="Calibri" w:eastAsia="Calibri" w:cs="Times New Roman"/>
      <w:sz w:val="22"/>
      <w:szCs w:val="22"/>
    </w:rPr>
  </w:style>
  <w:style w:type="paragraph" w:styleId="Stopka">
    <w:name w:val="Footer"/>
    <w:basedOn w:val="Normal"/>
    <w:link w:val="StopkaZnak"/>
    <w:uiPriority w:val="99"/>
    <w:unhideWhenUsed/>
    <w:rsid w:val="0004198f"/>
    <w:pPr>
      <w:tabs>
        <w:tab w:val="clear" w:pos="708"/>
        <w:tab w:val="center" w:pos="4536" w:leader="none"/>
        <w:tab w:val="right" w:pos="9072" w:leader="none"/>
      </w:tabs>
    </w:pPr>
    <w:rPr/>
  </w:style>
  <w:style w:type="paragraph" w:styleId="Gwka">
    <w:name w:val="Header"/>
    <w:basedOn w:val="Normal"/>
    <w:link w:val="NagwekZnak"/>
    <w:uiPriority w:val="99"/>
    <w:unhideWhenUsed/>
    <w:rsid w:val="0004198f"/>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e97ea8"/>
    <w:pPr/>
    <w:rPr>
      <w:rFonts w:ascii="Times New Roman" w:hAnsi="Times New Roman" w:cs="Times New Roman"/>
      <w:sz w:val="18"/>
      <w:szCs w:val="18"/>
    </w:rPr>
  </w:style>
  <w:style w:type="paragraph" w:styleId="PlainText">
    <w:name w:val="Plain Text"/>
    <w:basedOn w:val="Normal"/>
    <w:link w:val="ZwykytekstZnak"/>
    <w:semiHidden/>
    <w:qFormat/>
    <w:rsid w:val="0032541a"/>
    <w:pPr>
      <w:suppressAutoHyphens w:val="true"/>
    </w:pPr>
    <w:rPr>
      <w:rFonts w:ascii="Courier New" w:hAnsi="Courier New" w:eastAsia="Times New Roman" w:cs="Times New Roman"/>
      <w:sz w:val="20"/>
      <w:szCs w:val="20"/>
      <w:lang w:val="x-none" w:eastAsia="x-none"/>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LibreOffice/6.1.2.1$Windows_X86_64 LibreOffice_project/65905a128db06ba48db947242809d14d3f9a93fe</Application>
  <Pages>17</Pages>
  <Words>5769</Words>
  <Characters>39328</Characters>
  <CharactersWithSpaces>44917</CharactersWithSpaces>
  <Paragraphs>335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2019-07-10T10:14:00Z</dcterms:created>
  <dc:creator>Ewa Masternak</dc:creator>
  <dc:description/>
  <dc:language>pl-PL</dc:language>
  <cp:lastModifiedBy>SOSwN</cp:lastModifiedBy>
  <dcterms:modified xsi:type="dcterms:W3CDTF">2019-07-10T10:14:00Z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