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EC4A7" w14:textId="396E3539" w:rsidR="00F006CF" w:rsidRPr="00F80B73" w:rsidRDefault="005B4608" w:rsidP="00F006C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80B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Stary Brześć</w:t>
      </w:r>
      <w:r w:rsidR="00F006CF" w:rsidRPr="00F80B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</w:t>
      </w:r>
      <w:r w:rsidR="00926AB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22 października</w:t>
      </w:r>
      <w:r w:rsidR="00F006CF" w:rsidRPr="00F80B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202</w:t>
      </w:r>
      <w:r w:rsidR="00E956A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6</w:t>
      </w:r>
      <w:r w:rsidR="00F006CF" w:rsidRPr="00F80B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r.</w:t>
      </w:r>
    </w:p>
    <w:p w14:paraId="72125445" w14:textId="1076DCEC" w:rsidR="005B4608" w:rsidRPr="005B4608" w:rsidRDefault="005B4608" w:rsidP="005B460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</w:pPr>
      <w:r w:rsidRPr="005B4608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ZSCKR.330.</w:t>
      </w:r>
      <w:r w:rsidR="00926AB7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4</w:t>
      </w:r>
      <w:r w:rsidRPr="005B4608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.202</w:t>
      </w:r>
      <w:r w:rsidR="00E956A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6</w:t>
      </w:r>
    </w:p>
    <w:p w14:paraId="5B75EE5B" w14:textId="77777777" w:rsidR="00D12310" w:rsidRPr="00F80B73" w:rsidRDefault="00D12310" w:rsidP="004D554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</w:pPr>
    </w:p>
    <w:p w14:paraId="1675EF3A" w14:textId="77777777" w:rsidR="004B48ED" w:rsidRDefault="004B48ED" w:rsidP="000815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</w:pPr>
    </w:p>
    <w:p w14:paraId="7891246B" w14:textId="21A01C99" w:rsidR="00F006CF" w:rsidRDefault="0008158E" w:rsidP="000815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</w:pP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  <w:t>WYJAŚNIENI</w:t>
      </w:r>
      <w:r w:rsidR="0087100E"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  <w:t xml:space="preserve">A </w:t>
      </w: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  <w:t>TREŚCI SPECYFIKACJI WARUNKÓW ZAMÓWIENIA /SWZ/</w:t>
      </w:r>
    </w:p>
    <w:p w14:paraId="254AE851" w14:textId="77777777" w:rsidR="0008158E" w:rsidRPr="00F80B73" w:rsidRDefault="0008158E" w:rsidP="000815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</w:pPr>
    </w:p>
    <w:p w14:paraId="538E505D" w14:textId="0B1A0E11" w:rsidR="002933BC" w:rsidRPr="002933BC" w:rsidRDefault="002933BC" w:rsidP="002933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</w:pPr>
      <w:r w:rsidRPr="002933BC"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  <w:t>Dotyczy: postępowania pn.</w:t>
      </w:r>
      <w:r w:rsidR="003268E2"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  <w:t xml:space="preserve"> </w:t>
      </w:r>
      <w:r w:rsidR="003268E2" w:rsidRPr="003268E2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Inżynier kontraktu dla zadania pn. Budowa hali sportowej przy ZSCKR w Starym Brześciu</w:t>
      </w:r>
      <w:r w:rsidRPr="002933B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,</w:t>
      </w:r>
      <w:r w:rsidR="00E956A4"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  <w:t xml:space="preserve"> </w:t>
      </w:r>
      <w:r w:rsidRPr="002933BC"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  <w:t xml:space="preserve">prowadzonego w trybie podstawowym na podstawie art. 275 pkt 1 ustawy z dnia 11 września 2019 r. Prawo zamówień publicznych </w:t>
      </w:r>
      <w:r w:rsidR="003268E2" w:rsidRPr="003268E2">
        <w:rPr>
          <w:rFonts w:ascii="Times New Roman" w:eastAsia="Times New Roman" w:hAnsi="Times New Roman" w:cs="Times New Roman"/>
          <w:color w:val="000000"/>
          <w:kern w:val="0"/>
          <w:lang w:eastAsia="pl-PL" w:bidi="pl-PL"/>
          <w14:ligatures w14:val="none"/>
        </w:rPr>
        <w:t>(Dz. U. z 2026 r., poz. 793, ze zm.)</w:t>
      </w:r>
    </w:p>
    <w:p w14:paraId="0619D471" w14:textId="77777777" w:rsidR="003268E2" w:rsidRDefault="002933BC" w:rsidP="002933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</w:pPr>
      <w:r w:rsidRPr="002933B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 xml:space="preserve">ID postępowania: </w:t>
      </w:r>
      <w:r w:rsidR="003268E2" w:rsidRPr="003268E2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ocds-148610-afccaef0-dd9e-46ab-a1a4-9607b93289ea</w:t>
      </w:r>
    </w:p>
    <w:p w14:paraId="6562ADBA" w14:textId="752A638D" w:rsidR="00F006CF" w:rsidRDefault="002933BC" w:rsidP="002933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</w:pPr>
      <w:r w:rsidRPr="002933B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 xml:space="preserve">Numer ogłoszenia: </w:t>
      </w:r>
      <w:r w:rsidR="003268E2" w:rsidRPr="003268E2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2026/BZP 00491351</w:t>
      </w:r>
      <w:r w:rsidR="003268E2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 xml:space="preserve"> </w:t>
      </w:r>
      <w:r w:rsidRPr="002933B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z dnia 202</w:t>
      </w:r>
      <w:r w:rsidR="00E956A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6</w:t>
      </w:r>
      <w:r w:rsidRPr="002933B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-</w:t>
      </w:r>
      <w:r w:rsidR="003268E2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10</w:t>
      </w:r>
      <w:r w:rsidRPr="002933B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-</w:t>
      </w:r>
      <w:r w:rsidR="003268E2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 w:bidi="pl-PL"/>
          <w14:ligatures w14:val="none"/>
        </w:rPr>
        <w:t>16</w:t>
      </w:r>
    </w:p>
    <w:p w14:paraId="5989F959" w14:textId="77777777" w:rsidR="002933BC" w:rsidRPr="00D83449" w:rsidRDefault="002933BC" w:rsidP="002933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lang w:eastAsia="pl-PL"/>
          <w14:ligatures w14:val="none"/>
        </w:rPr>
      </w:pPr>
    </w:p>
    <w:p w14:paraId="10267799" w14:textId="14E65D27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Działając na podstawie art. 284 ust. 2 i 6 ustawy z dnia 11 września 2019 r. - Prawo zamówień publicznych</w:t>
      </w:r>
      <w:r w:rsidR="005142E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zwanej dalej także „pzp”</w:t>
      </w:r>
      <w:r w:rsidR="00DB790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lub „ustawa pzp”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zamawiający udziela wyjaśnień treści SWZ i udostępnia treść zapytań z wyjaśnieniami treści SWZ</w:t>
      </w:r>
      <w:r w:rsidR="009A0C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</w:t>
      </w:r>
    </w:p>
    <w:p w14:paraId="2EC6EC2B" w14:textId="77777777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05F0151" w14:textId="30ACE552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Informuję, że w toku prowadzonego postępowania o udzielenie zamówienia publicznego wykonawc</w:t>
      </w:r>
      <w:r w:rsidR="002933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zwróci</w:t>
      </w:r>
      <w:r w:rsidR="002933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ł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się do zamawiającego z wniosk</w:t>
      </w:r>
      <w:r w:rsidR="002933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iem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 wyjaśnienie treści SWZ.</w:t>
      </w:r>
    </w:p>
    <w:p w14:paraId="77C25624" w14:textId="0C8A1B40" w:rsid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związku z powyższym, działając na podstawie art. 284 ust. 2 i 6 pzp, przekazuję treść wniosk</w:t>
      </w:r>
      <w:r w:rsidR="002933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 wyjaśnienie treści SWZ, wniesion</w:t>
      </w:r>
      <w:r w:rsidR="002933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ego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przez wykonawc</w:t>
      </w:r>
      <w:r w:rsidR="002933B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ę</w:t>
      </w:r>
      <w:r w:rsidRPr="00081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wraz z wyjaśnieniami treści SWZ zamawiającego:</w:t>
      </w:r>
    </w:p>
    <w:p w14:paraId="3E51B4C1" w14:textId="77777777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5ACE05A" w14:textId="6905AE3D" w:rsidR="0008158E" w:rsidRPr="0008158E" w:rsidRDefault="0008158E" w:rsidP="0008158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</w:pPr>
      <w:bookmarkStart w:id="0" w:name="_Hlk173241632"/>
      <w:bookmarkStart w:id="1" w:name="_Hlk178928238"/>
      <w:r w:rsidRPr="0008158E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 xml:space="preserve">W dniu </w:t>
      </w:r>
      <w:r w:rsidR="00D87880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22 października</w:t>
      </w:r>
      <w:r w:rsidR="00E956A4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 xml:space="preserve"> 2026</w:t>
      </w:r>
      <w:r w:rsidRPr="0008158E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 xml:space="preserve"> r. wykonawca zwrócił się z zapytani</w:t>
      </w:r>
      <w:r w:rsidR="004F0076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ami</w:t>
      </w:r>
      <w:r w:rsidRPr="0008158E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 xml:space="preserve"> następującej treści:</w:t>
      </w:r>
    </w:p>
    <w:p w14:paraId="6427C3B8" w14:textId="77777777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6923EC6C" w14:textId="45BFD4A4" w:rsidR="00FE0F00" w:rsidRDefault="0008158E" w:rsidP="000815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PYTANI</w:t>
      </w:r>
      <w:r w:rsidR="0076591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</w:t>
      </w: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I ODPOWIED</w:t>
      </w:r>
      <w:r w:rsidR="0076591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ZI</w:t>
      </w:r>
      <w:r w:rsidRPr="000815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:</w:t>
      </w:r>
    </w:p>
    <w:bookmarkEnd w:id="0"/>
    <w:p w14:paraId="1421D869" w14:textId="31FD94EC" w:rsidR="006676EA" w:rsidRPr="00145E4D" w:rsidRDefault="00145E4D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 xml:space="preserve">(…) </w:t>
      </w:r>
      <w:r w:rsidRPr="00145E4D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wnoszę o wyjaśnienie oraz zmianę treści Specyfikacji Warunków Zamówienia w następującym zakresie:</w:t>
      </w:r>
    </w:p>
    <w:p w14:paraId="0E26284C" w14:textId="5CE884FB" w:rsidR="00145E4D" w:rsidRPr="00145E4D" w:rsidRDefault="005F22BD" w:rsidP="00145E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 xml:space="preserve">1) </w:t>
      </w:r>
      <w:r w:rsidR="00145E4D" w:rsidRPr="00145E4D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Kryterium „Ilość pobytów” (20%) – ograniczenie konkurencji i faworyzowanie wykonawców lokalnych.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 xml:space="preserve"> </w:t>
      </w:r>
      <w:r w:rsidR="00145E4D" w:rsidRPr="00145E4D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Kryterium „Ilość pobytów na budowie” (waga 20%) premiuje deklarację 3 pobytów tygodniowo inspektora danej branży przez cały, ponad 3-letni okres realizacji (do 11.12.2029 r.). Wymóg fizycznej obecności na budowie trzy razy w tygodniu, niezależnie od rzeczywistego frontu i zaawansowania robót danej branży, nie znajduje uzasadnienia w przedmiocie zamówienia (nadzór inwestorski) i w praktyce jest osiągalny bez nieproporcjonalnych kosztów wyłącznie dla wykonawców dysponujących kadrą w bezpośrednim sąsiedztwie budowy. Takie kryterium różnicuje oferty według kryterium geograficznego, a nie jakości nadzoru, i ogranicza konkurencję z korzyścią dla podmiotów lokalnych (art. 16 pkt 1–3, art. 17 ust. 1, art. 240 ust. 2 Pzp). Wnosimy o: (a) powiązanie punktowanej częstotliwości pobytów z rzeczywistym frontem robót danej branży (pobyty „stosownie do potrzeb wynikających z etapu robót”), albo (b) obniżenie punktowanego progu do 2 pobytów tygodniowo jako maksimum, albo (c) rezygnację z tego kryterium na rzecz kryterium jakościowego nieróżnicującego wykonawców ze względu na lokalizację. Prosimy o wskazanie obiektywnego uzasadnienia proporcjonalności obecnego progu w świetle art. 240 ust. 2 Pzp.</w:t>
      </w:r>
    </w:p>
    <w:p w14:paraId="07D3353C" w14:textId="3ADA3949" w:rsidR="00145E4D" w:rsidRPr="00145E4D" w:rsidRDefault="00145E4D" w:rsidP="00145E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  <w:r w:rsidRPr="00145E4D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2) Kryterium „Czas reakcji” (20%) – definicja reakcji a faworyzowanie podmiotów lokalnych. Kryterium „Czas reakcji” (waga 20%) przyznaje maksymalną punktację za reakcję do 8 godzin. Jednocześnie SWZ (pkt 5) definiuje reakcję jako „podjęcie działań” – w tym telefonicznie lub drogą e-mailową – a nie wyłącznie jako fizyczny przyjazd na budowę. Prosimy o jednoznaczne potwierdzenie, że zadeklarowany czas reakcji (8/16/24 h) jest dochowany również przez kontakt telefoniczny lub mailowy oraz zdalne podjęcie czynności, bez konieczności fizycznej obecności inspektora na budowie w tym czasie. Odmienna wykładnia (wymóg fizycznego stawiennictwa w 8 h) prowadziłaby do faktycznego wykluczenia wykonawców spoza najbliższego otoczenia budowy i naruszałaby zasadę uczciwej konkurencji i proporcjonalności (art. 16 Pzp). Wnosimy o doprecyzowanie tej definicji w treści SWZ.</w:t>
      </w:r>
    </w:p>
    <w:p w14:paraId="4CADFD36" w14:textId="77777777" w:rsidR="00145E4D" w:rsidRPr="00145E4D" w:rsidRDefault="00145E4D" w:rsidP="00145E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  <w:r w:rsidRPr="00145E4D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3) Łączny udział kryteriów „dostępnościowych” (40%) a rzeczywista jakość nadzoru. Kryteria „Ilość</w:t>
      </w:r>
    </w:p>
    <w:p w14:paraId="3268FB91" w14:textId="5187F249" w:rsidR="00145E4D" w:rsidRPr="00145E4D" w:rsidRDefault="00145E4D" w:rsidP="00145E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  <w:r w:rsidRPr="00145E4D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 xml:space="preserve">pobytów” i „Czas reakcji” stanowią łącznie 40% oceny i obydwa premiują bliskość geograficzną wykonawcy, a nie merytoryczną jakość świadczonego nadzoru inwestorskiego. Prosimy o wyjaśnienie, w jaki sposób Zamawiający zapewnił, że kryteria oceny ofert są związane z przedmiotem zamówienia i nie ograniczają konkurencji (art. 240 ust. 1 i 2, art. 241 ust. 1 Pzp), oraz o rozważenie wprowadzenia </w:t>
      </w:r>
      <w:r w:rsidRPr="00145E4D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lastRenderedPageBreak/>
        <w:t>kryterium premiującego doświadczenie zespołu nadzoru (np. liczba zrealizowanych inwestycji kubaturowych) w miejsce lub obok kryteriów dostępnościowych.</w:t>
      </w:r>
    </w:p>
    <w:p w14:paraId="2528F47D" w14:textId="7719E15D" w:rsidR="00145E4D" w:rsidRPr="00145E4D" w:rsidRDefault="00145E4D" w:rsidP="00145E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  <w:r w:rsidRPr="00145E4D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4) Warunek doświadczenia wykonawcy – zakres branż i sumowanie usług. Prosimy o potwierdzenie, że</w:t>
      </w:r>
      <w:r w:rsidR="00167C19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 xml:space="preserve"> </w:t>
      </w:r>
      <w:r w:rsidRPr="00145E4D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warunek z pkt 17.1.4 lit. a spełnia jedna usługa inżyniera kontraktu / nadzoru inwestorskiego nad obiektem użyteczności publicznej o powierzchni użytkowej ≥ 1 000 m², obejmująca nadzór w branżach</w:t>
      </w:r>
    </w:p>
    <w:p w14:paraId="721A0B47" w14:textId="4AE62218" w:rsidR="00145E4D" w:rsidRPr="00145E4D" w:rsidRDefault="00145E4D" w:rsidP="00145E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  <w:r w:rsidRPr="00145E4D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konstrukcyjno-budowlanej, sanitarnej i elektrycznej, nawet jeżeli dana inwestycja nie obejmowała robót</w:t>
      </w:r>
      <w:r w:rsidR="00167C19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 xml:space="preserve"> </w:t>
      </w:r>
      <w:r w:rsidRPr="00145E4D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drogowych ani telekomunikacyjnych (brak takich robót w zakresie inwestycji). Ewentualnie wnosimy o dopuszczenie wykazania doświadczenia w branży drogowej i telekomunikacyjnej odrębną usługą (art. 116 ust. 1 i art. 16 Pzp). Wymóg jednej usługi łączącej 5 branż, w tym drogową, również zawęża krąg</w:t>
      </w:r>
      <w:r w:rsidR="00167C19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 xml:space="preserve"> </w:t>
      </w:r>
      <w:r w:rsidRPr="00145E4D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wykonawców w sposób nieadekwatny do przedmiotu zamówienia.</w:t>
      </w:r>
    </w:p>
    <w:p w14:paraId="0A5A23F4" w14:textId="7895FDEC" w:rsidR="00145E4D" w:rsidRPr="00145E4D" w:rsidRDefault="00145E4D" w:rsidP="00145E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  <w:r w:rsidRPr="00145E4D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5) Warunek osób – branża drogowa i telekomunikacyjna. Prosimy o potwierdzenie, że dla inspektora w</w:t>
      </w:r>
      <w:r w:rsidR="00167C19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 xml:space="preserve"> </w:t>
      </w:r>
      <w:r w:rsidRPr="00145E4D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specjalności inżynieryjnej drogowej oraz telekomunikacyjnej nie jest wymagane dodatkowe doświadczenie (pkt 17.1.4 lit. b wskazuje doświadczenie nad obiektem ≥ 1 000 m² wyłącznie dla branż</w:t>
      </w:r>
    </w:p>
    <w:p w14:paraId="14ABAB15" w14:textId="66350B43" w:rsidR="00145E4D" w:rsidRPr="00145E4D" w:rsidRDefault="00145E4D" w:rsidP="00145E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  <w:r w:rsidRPr="00145E4D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konstrukcyjno-budowlanej, sanitarnej i elektrycznej), a wystarczające jest posiadanie odpowiednich uprawnień budowlanych.</w:t>
      </w:r>
    </w:p>
    <w:p w14:paraId="068C206F" w14:textId="32E21675" w:rsidR="00145E4D" w:rsidRPr="00145E4D" w:rsidRDefault="00145E4D" w:rsidP="00145E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  <w:r w:rsidRPr="00145E4D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6) Wynagrodzenie po 37 miesiącach oraz w 7-letnim okresie gwarancji. Wnosimy o: (a) dodanie postanowienia, że za nadzór nad robotami w okresie przekraczającym 37 miesięcy z przyczyn niezależnych od Inżyniera Kontraktu przysługuje dodatkowe wynagrodzenie proporcjonalne (art. 436 pkt 4 lit. b Pzp); (b) wyodrębnienie w wynagrodzeniu części za czynności w 7-letnim okresie gwarancji i rękojmi oraz potwierdzenie liczby przeglądów gwarancyjnych w tym okresie.</w:t>
      </w:r>
    </w:p>
    <w:p w14:paraId="4B29F373" w14:textId="247CC0EF" w:rsidR="00145E4D" w:rsidRPr="00145E4D" w:rsidRDefault="00145E4D" w:rsidP="00145E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  <w:r w:rsidRPr="00145E4D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7) Harmonogram płatności – kumulacja wynagrodzenia w 2029 r.. Prosimy o udostępnienie harmonogramu rzeczowo-finansowego robót (umowa z wykonawcą robót) oraz o potwierdzenie, że faktury częściowe Inżyniera Kontraktu mogą być wystawiane proporcjonalnie do zaawansowania robót w danym roku, niezależnie od rocznych limitów procentowych, aby uniknąć kumulacji większości wynagrodzenia w 2029 r. i w fakturze końcowej.</w:t>
      </w:r>
    </w:p>
    <w:p w14:paraId="3A9D9E0B" w14:textId="0FFB5237" w:rsidR="00145E4D" w:rsidRPr="00167C19" w:rsidRDefault="00145E4D" w:rsidP="00145E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  <w:r w:rsidRPr="00145E4D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8) Waloryzacja wynagrodzenia. Wnosimy o obniżenie progu waloryzacji z 15% do 5% zmiany wskaźnika CPI oraz o zwiększenie maksymalnej wartości waloryzacji z 5% do 15% wynagrodzenia netto (art. 439 Pzp). Przy okresie realizacji przekraczającym 40 miesięcy obecne parametry czynią waloryzację iluzoryczną. Kryteria oceny ofert oparte na częstotliwości pobytów i czasie fizycznej reakcji, obejmujące łącznie 40% punktacji, w ocenie Wykonawcy ograniczają konkurencję i w sposób nieuzasadniony preferują wykonawców lokalnych, co pozostaje w sprzeczności z art. 16, art. 17 ust. 1 oraz art. 240 ust. 2 Pzp. Wnoszę o udzielenie wyjaśnień oraz o odpowiednią zmianę treści SWZ, a w razie potrzeby o przedłużenie terminu składania ofert (art. 286 ust. 1 i 3 Pzp).</w:t>
      </w:r>
    </w:p>
    <w:p w14:paraId="240A8A31" w14:textId="43643E49" w:rsidR="001C2E8E" w:rsidRDefault="006676EA" w:rsidP="00B2700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bookmarkStart w:id="2" w:name="_Hlk173241721"/>
      <w:r w:rsidRPr="00782BF4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Od</w:t>
      </w:r>
      <w:bookmarkEnd w:id="1"/>
      <w:bookmarkEnd w:id="2"/>
      <w:r w:rsidR="00963971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p. </w:t>
      </w:r>
      <w:r w:rsidR="00775A61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Zamawiający wyjaśnia</w:t>
      </w:r>
      <w:r w:rsidR="001C2E8E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,</w:t>
      </w:r>
      <w:r w:rsidR="00775A61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</w:t>
      </w:r>
      <w:r w:rsidR="001C2E8E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ż</w:t>
      </w:r>
      <w:r w:rsidR="00775A61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e</w:t>
      </w:r>
      <w:r w:rsidR="001C2E8E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:</w:t>
      </w:r>
    </w:p>
    <w:p w14:paraId="285269CD" w14:textId="151806E8" w:rsidR="001C2E8E" w:rsidRDefault="001C2E8E" w:rsidP="00B2700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- prze</w:t>
      </w:r>
      <w:r w:rsidR="00FD16D3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z</w:t>
      </w: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sformu</w:t>
      </w:r>
      <w:r w:rsidR="00FD16D3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ł</w:t>
      </w: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owanie </w:t>
      </w:r>
      <w:r w:rsidR="00FD16D3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„</w:t>
      </w:r>
      <w:r w:rsidR="00FD16D3" w:rsidRPr="00FD16D3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w danej specjalności</w:t>
      </w:r>
      <w:r w:rsidR="00FD16D3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” rozumie właśnie powiazanie deklarowanej ilości pobytów inspektora/ów z rzeczywistym frontem robót: „</w:t>
      </w:r>
      <w:r w:rsidR="00FD16D3" w:rsidRPr="00FD16D3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W trakcie intensyfikacji robót w danej specjalności ilość pobytów tygodniowych inspektora/ów nadzoru może zwiększyć się do 3 pobytów.</w:t>
      </w:r>
      <w:r w:rsidR="00FD16D3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”(Ad. 1);</w:t>
      </w:r>
    </w:p>
    <w:p w14:paraId="4E9EC6AA" w14:textId="734703F3" w:rsidR="00FD16D3" w:rsidRDefault="00FD16D3" w:rsidP="00B2700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- </w:t>
      </w:r>
      <w:r w:rsidRPr="00FD16D3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rozwiązanie problemu telefonicznie, czy drogą e-mailową</w:t>
      </w: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w zależności od sytuacji oznacza</w:t>
      </w:r>
      <w:r w:rsidR="00750C2B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również dochowanie deklarowanego czasu reakcji (Ad. 2);</w:t>
      </w:r>
    </w:p>
    <w:p w14:paraId="7EE6BC14" w14:textId="583B2BD9" w:rsidR="00750C2B" w:rsidRDefault="00750C2B" w:rsidP="00B2700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- kryteria jakościowe w postępowaniu powiązane są z przedmiotem zamówienia, ponieważ przez ilość pobytów tygodniowych inspektora/ów na budowie i czas reakcji niewątpliwie wpływają na jakość nadzoru, nie jest wymagane, żeby osoby z uprawnieniami budowlanymi do nadzorowania robót były zatrudnione na umowę o pracę u wykonawcy i dlatego nie premiują bliskości geograficznej (Ad. 3);  </w:t>
      </w:r>
    </w:p>
    <w:p w14:paraId="4358E3AC" w14:textId="2C78413A" w:rsidR="00750C2B" w:rsidRDefault="00750C2B" w:rsidP="00B2700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- wymóg jest adekwatny do przedmiotu zamówienia, ponieważ w zakresie nadzorow</w:t>
      </w:r>
      <w:r w:rsidR="00D61ADE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an</w:t>
      </w: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ych robót są </w:t>
      </w:r>
      <w:r w:rsidR="00D61ADE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również </w:t>
      </w: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roboty</w:t>
      </w:r>
      <w:r w:rsidR="00D61ADE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drogowe i telekomunikacyjne</w:t>
      </w: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 (Ad. 4);</w:t>
      </w:r>
    </w:p>
    <w:p w14:paraId="52888E1D" w14:textId="47D36AAC" w:rsidR="00D61ADE" w:rsidRDefault="00D61ADE" w:rsidP="00B2700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- dla branżystów drogowego i telekomunikacyjnego nie określono wymaganego doświadczenia (Ad. 5);</w:t>
      </w:r>
    </w:p>
    <w:p w14:paraId="43F95DA3" w14:textId="6ED32596" w:rsidR="00D61ADE" w:rsidRDefault="00D61ADE" w:rsidP="00B2700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- zgodnie z projektem umowy i umową zawarta z Wykonawc</w:t>
      </w:r>
      <w:r w:rsidR="005D04EE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ą</w:t>
      </w: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rbm: „Raz </w:t>
      </w:r>
      <w:r w:rsidRPr="00D61ADE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w roku Zamawiający wraz z Wykonawcą dokonywać będą przeglądu gwarancyjnego Przedmiotu zamówienia.</w:t>
      </w: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” (Ad. 6);</w:t>
      </w:r>
    </w:p>
    <w:p w14:paraId="4147F513" w14:textId="36E7B408" w:rsidR="00FD16D3" w:rsidRDefault="00D61ADE" w:rsidP="00B2700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- zapisy są zgodne z przepisami prawa (Ad. 7,8).</w:t>
      </w:r>
    </w:p>
    <w:p w14:paraId="711FBD00" w14:textId="71F26B7F" w:rsidR="00C55850" w:rsidRPr="00167C19" w:rsidRDefault="00963971" w:rsidP="00610F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  <w:r w:rsidRPr="001C2E8E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Zamawiający podtrzymuje zapisy SWZ.</w:t>
      </w:r>
      <w:r w:rsidR="00145E4D" w:rsidRPr="001C2E8E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 xml:space="preserve"> </w:t>
      </w:r>
    </w:p>
    <w:p w14:paraId="61FB7B25" w14:textId="77777777" w:rsidR="005A6448" w:rsidRPr="005A6448" w:rsidRDefault="005A6448" w:rsidP="005A6448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5A644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Kazimierz Rojewski</w:t>
      </w:r>
    </w:p>
    <w:p w14:paraId="39B2D211" w14:textId="48306F20" w:rsidR="00FE0F00" w:rsidRPr="00165921" w:rsidRDefault="005A6448" w:rsidP="00165921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5A644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Dyrektor ZSCKR im. Jadwigi Dziubińskiej w Starym Brześciu</w:t>
      </w:r>
    </w:p>
    <w:p w14:paraId="616D9A87" w14:textId="77777777" w:rsidR="006676EA" w:rsidRPr="006676EA" w:rsidRDefault="006676EA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  <w:t>Do zamieszczenia:</w:t>
      </w:r>
    </w:p>
    <w:p w14:paraId="44CE1412" w14:textId="77777777" w:rsidR="006676EA" w:rsidRPr="006676EA" w:rsidRDefault="006676EA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1. strona internetowa prowadzonego postępowania</w:t>
      </w:r>
    </w:p>
    <w:p w14:paraId="6C6B0C31" w14:textId="30E4C703" w:rsidR="00F3670B" w:rsidRPr="006676EA" w:rsidRDefault="006676EA" w:rsidP="006676EA">
      <w:pPr>
        <w:spacing w:after="0" w:line="240" w:lineRule="auto"/>
        <w:jc w:val="both"/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2. a/a</w:t>
      </w:r>
    </w:p>
    <w:sectPr w:rsidR="00F3670B" w:rsidRPr="006676EA" w:rsidSect="00093733">
      <w:headerReference w:type="default" r:id="rId7"/>
      <w:footerReference w:type="even" r:id="rId8"/>
      <w:headerReference w:type="first" r:id="rId9"/>
      <w:pgSz w:w="11906" w:h="16838" w:code="9"/>
      <w:pgMar w:top="1134" w:right="1134" w:bottom="1134" w:left="1701" w:header="397" w:footer="624" w:gutter="0"/>
      <w:paperSrc w:first="15" w:other="15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DC847" w14:textId="77777777" w:rsidR="00CE11FF" w:rsidRDefault="00CE11FF">
      <w:pPr>
        <w:spacing w:after="0" w:line="240" w:lineRule="auto"/>
      </w:pPr>
      <w:r>
        <w:separator/>
      </w:r>
    </w:p>
  </w:endnote>
  <w:endnote w:type="continuationSeparator" w:id="0">
    <w:p w14:paraId="34833CBD" w14:textId="77777777" w:rsidR="00CE11FF" w:rsidRDefault="00CE1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59340" w14:textId="77777777" w:rsidR="002433AA" w:rsidRDefault="002433AA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10</w:t>
    </w:r>
    <w:r>
      <w:fldChar w:fldCharType="end"/>
    </w:r>
  </w:p>
  <w:p w14:paraId="0A2EDC37" w14:textId="77777777" w:rsidR="002433AA" w:rsidRDefault="002433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7CBDE" w14:textId="77777777" w:rsidR="00CE11FF" w:rsidRDefault="00CE11FF">
      <w:pPr>
        <w:spacing w:after="0" w:line="240" w:lineRule="auto"/>
      </w:pPr>
      <w:r>
        <w:separator/>
      </w:r>
    </w:p>
  </w:footnote>
  <w:footnote w:type="continuationSeparator" w:id="0">
    <w:p w14:paraId="3681ECCA" w14:textId="77777777" w:rsidR="00CE11FF" w:rsidRDefault="00CE1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F4A0D" w14:textId="77777777" w:rsidR="002433AA" w:rsidRDefault="002433AA">
    <w:pPr>
      <w:pStyle w:val="Nagwek"/>
      <w:jc w:val="center"/>
      <w:rPr>
        <w:lang w:val="pl-PL"/>
      </w:rPr>
    </w:pPr>
  </w:p>
  <w:p w14:paraId="2CC87ED5" w14:textId="77777777" w:rsidR="002433AA" w:rsidRPr="00676A64" w:rsidRDefault="002433AA" w:rsidP="005044B4">
    <w:pPr>
      <w:pStyle w:val="Nagwek"/>
      <w:jc w:val="center"/>
      <w:rPr>
        <w:sz w:val="20"/>
        <w:szCs w:val="20"/>
      </w:rPr>
    </w:pPr>
    <w:r w:rsidRPr="00676A64">
      <w:rPr>
        <w:sz w:val="20"/>
        <w:szCs w:val="20"/>
      </w:rPr>
      <w:fldChar w:fldCharType="begin"/>
    </w:r>
    <w:r w:rsidRPr="00676A64">
      <w:rPr>
        <w:sz w:val="20"/>
        <w:szCs w:val="20"/>
      </w:rPr>
      <w:instrText>PAGE   \* MERGEFORMAT</w:instrText>
    </w:r>
    <w:r w:rsidRPr="00676A64">
      <w:rPr>
        <w:sz w:val="20"/>
        <w:szCs w:val="20"/>
      </w:rPr>
      <w:fldChar w:fldCharType="separate"/>
    </w:r>
    <w:r w:rsidRPr="00114142">
      <w:rPr>
        <w:noProof/>
        <w:sz w:val="20"/>
        <w:szCs w:val="20"/>
        <w:lang w:val="pl-PL"/>
      </w:rPr>
      <w:t>4</w:t>
    </w:r>
    <w:r w:rsidRPr="00676A64">
      <w:rPr>
        <w:sz w:val="20"/>
        <w:szCs w:val="20"/>
      </w:rPr>
      <w:fldChar w:fldCharType="end"/>
    </w:r>
  </w:p>
  <w:p w14:paraId="22B68E5E" w14:textId="7F210953" w:rsidR="002433AA" w:rsidRPr="005044B4" w:rsidRDefault="002433AA" w:rsidP="005044B4">
    <w:pPr>
      <w:keepNext/>
      <w:suppressAutoHyphens/>
      <w:jc w:val="center"/>
      <w:rPr>
        <w:rFonts w:ascii="Arial" w:eastAsia="Lucida Sans Unicode" w:hAnsi="Arial" w:cs="Arial"/>
        <w:sz w:val="28"/>
        <w:szCs w:val="28"/>
        <w:lang w:val="x-none" w:eastAsia="ar-S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EF1EB" w14:textId="77777777" w:rsidR="002433AA" w:rsidRDefault="002433AA">
    <w:pPr>
      <w:pStyle w:val="Nagwek"/>
    </w:pPr>
  </w:p>
  <w:p w14:paraId="0643A735" w14:textId="66BC0A42" w:rsidR="002433AA" w:rsidRPr="00D12B41" w:rsidRDefault="002433AA" w:rsidP="00D12B41">
    <w:pPr>
      <w:keepNext/>
      <w:suppressAutoHyphens/>
      <w:jc w:val="center"/>
      <w:rPr>
        <w:rFonts w:ascii="Arial" w:eastAsia="Lucida Sans Unicode" w:hAnsi="Arial" w:cs="Arial"/>
        <w:sz w:val="28"/>
        <w:szCs w:val="28"/>
        <w:lang w:val="x-none" w:eastAsia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AE5B1C"/>
    <w:multiLevelType w:val="hybridMultilevel"/>
    <w:tmpl w:val="D9D07A68"/>
    <w:lvl w:ilvl="0" w:tplc="5D1EB480">
      <w:start w:val="1"/>
      <w:numFmt w:val="decimal"/>
      <w:lvlText w:val="%1)"/>
      <w:lvlJc w:val="left"/>
      <w:pPr>
        <w:ind w:left="1068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E403205"/>
    <w:multiLevelType w:val="hybridMultilevel"/>
    <w:tmpl w:val="952EA882"/>
    <w:lvl w:ilvl="0" w:tplc="ED6AC4C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0967818">
    <w:abstractNumId w:val="0"/>
  </w:num>
  <w:num w:numId="2" w16cid:durableId="286857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6CF"/>
    <w:rsid w:val="00044FFB"/>
    <w:rsid w:val="00050C2F"/>
    <w:rsid w:val="000514B5"/>
    <w:rsid w:val="00074592"/>
    <w:rsid w:val="00076A3D"/>
    <w:rsid w:val="0008158E"/>
    <w:rsid w:val="00091DD7"/>
    <w:rsid w:val="00093733"/>
    <w:rsid w:val="000E0BFA"/>
    <w:rsid w:val="001059CE"/>
    <w:rsid w:val="00122401"/>
    <w:rsid w:val="00133B15"/>
    <w:rsid w:val="00145E4D"/>
    <w:rsid w:val="0015104A"/>
    <w:rsid w:val="00156B38"/>
    <w:rsid w:val="00165921"/>
    <w:rsid w:val="00167C19"/>
    <w:rsid w:val="00186227"/>
    <w:rsid w:val="001A0A1A"/>
    <w:rsid w:val="001B1571"/>
    <w:rsid w:val="001B1838"/>
    <w:rsid w:val="001C2E8E"/>
    <w:rsid w:val="001D172E"/>
    <w:rsid w:val="001F1076"/>
    <w:rsid w:val="001F6949"/>
    <w:rsid w:val="00216E25"/>
    <w:rsid w:val="00231DD0"/>
    <w:rsid w:val="002433AA"/>
    <w:rsid w:val="0025368D"/>
    <w:rsid w:val="002766B7"/>
    <w:rsid w:val="00285BE8"/>
    <w:rsid w:val="002933BC"/>
    <w:rsid w:val="002C2CB8"/>
    <w:rsid w:val="002C6A63"/>
    <w:rsid w:val="002D7324"/>
    <w:rsid w:val="002D7FA3"/>
    <w:rsid w:val="002F1523"/>
    <w:rsid w:val="00303BBD"/>
    <w:rsid w:val="00311D0E"/>
    <w:rsid w:val="003268E2"/>
    <w:rsid w:val="00366C69"/>
    <w:rsid w:val="00391B6B"/>
    <w:rsid w:val="003B0615"/>
    <w:rsid w:val="003B3154"/>
    <w:rsid w:val="003B7340"/>
    <w:rsid w:val="0042291C"/>
    <w:rsid w:val="00472657"/>
    <w:rsid w:val="004A440C"/>
    <w:rsid w:val="004B48ED"/>
    <w:rsid w:val="004C0869"/>
    <w:rsid w:val="004D554A"/>
    <w:rsid w:val="004F0076"/>
    <w:rsid w:val="004F6B5D"/>
    <w:rsid w:val="005142EF"/>
    <w:rsid w:val="005361E5"/>
    <w:rsid w:val="00537B51"/>
    <w:rsid w:val="00551E70"/>
    <w:rsid w:val="0058290B"/>
    <w:rsid w:val="005A6448"/>
    <w:rsid w:val="005B4608"/>
    <w:rsid w:val="005B718E"/>
    <w:rsid w:val="005B77B3"/>
    <w:rsid w:val="005D04EE"/>
    <w:rsid w:val="005F22BD"/>
    <w:rsid w:val="00604D9D"/>
    <w:rsid w:val="00610F05"/>
    <w:rsid w:val="00644E43"/>
    <w:rsid w:val="00645D38"/>
    <w:rsid w:val="00654A67"/>
    <w:rsid w:val="006676EA"/>
    <w:rsid w:val="006816EB"/>
    <w:rsid w:val="006865E4"/>
    <w:rsid w:val="00690097"/>
    <w:rsid w:val="006B16F9"/>
    <w:rsid w:val="00710465"/>
    <w:rsid w:val="007141AF"/>
    <w:rsid w:val="00750C2B"/>
    <w:rsid w:val="00765918"/>
    <w:rsid w:val="00775A61"/>
    <w:rsid w:val="00782BF4"/>
    <w:rsid w:val="00801C5C"/>
    <w:rsid w:val="008569F4"/>
    <w:rsid w:val="0087100E"/>
    <w:rsid w:val="008B6879"/>
    <w:rsid w:val="008D5124"/>
    <w:rsid w:val="008D56A0"/>
    <w:rsid w:val="008D641F"/>
    <w:rsid w:val="009019EC"/>
    <w:rsid w:val="00901EB8"/>
    <w:rsid w:val="00915BFA"/>
    <w:rsid w:val="00926AB7"/>
    <w:rsid w:val="009365D0"/>
    <w:rsid w:val="00963971"/>
    <w:rsid w:val="0099700C"/>
    <w:rsid w:val="009A0C4C"/>
    <w:rsid w:val="009E0168"/>
    <w:rsid w:val="00A22BCE"/>
    <w:rsid w:val="00A71BB5"/>
    <w:rsid w:val="00A72A18"/>
    <w:rsid w:val="00AD16EE"/>
    <w:rsid w:val="00AD7651"/>
    <w:rsid w:val="00AF3BF3"/>
    <w:rsid w:val="00B266F9"/>
    <w:rsid w:val="00B27007"/>
    <w:rsid w:val="00B33B92"/>
    <w:rsid w:val="00B958F1"/>
    <w:rsid w:val="00BC2BD1"/>
    <w:rsid w:val="00C106F8"/>
    <w:rsid w:val="00C376B2"/>
    <w:rsid w:val="00C40866"/>
    <w:rsid w:val="00C55850"/>
    <w:rsid w:val="00C576F3"/>
    <w:rsid w:val="00C72EE3"/>
    <w:rsid w:val="00C94A2C"/>
    <w:rsid w:val="00CA031E"/>
    <w:rsid w:val="00CB289A"/>
    <w:rsid w:val="00CD0F02"/>
    <w:rsid w:val="00CE11FF"/>
    <w:rsid w:val="00D105EC"/>
    <w:rsid w:val="00D12310"/>
    <w:rsid w:val="00D13EF8"/>
    <w:rsid w:val="00D141E8"/>
    <w:rsid w:val="00D47AAD"/>
    <w:rsid w:val="00D610D8"/>
    <w:rsid w:val="00D61ADE"/>
    <w:rsid w:val="00D826F3"/>
    <w:rsid w:val="00D83449"/>
    <w:rsid w:val="00D87880"/>
    <w:rsid w:val="00DB7903"/>
    <w:rsid w:val="00E31AB3"/>
    <w:rsid w:val="00E40ABA"/>
    <w:rsid w:val="00E50C80"/>
    <w:rsid w:val="00E8784E"/>
    <w:rsid w:val="00E93871"/>
    <w:rsid w:val="00E956A4"/>
    <w:rsid w:val="00EB6735"/>
    <w:rsid w:val="00EB7D58"/>
    <w:rsid w:val="00ED56EE"/>
    <w:rsid w:val="00F006CF"/>
    <w:rsid w:val="00F048F4"/>
    <w:rsid w:val="00F15593"/>
    <w:rsid w:val="00F34FE2"/>
    <w:rsid w:val="00F3670B"/>
    <w:rsid w:val="00F4296C"/>
    <w:rsid w:val="00F80B73"/>
    <w:rsid w:val="00FB6777"/>
    <w:rsid w:val="00FD16D3"/>
    <w:rsid w:val="00FE0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9399B"/>
  <w15:chartTrackingRefBased/>
  <w15:docId w15:val="{E6D8D975-0AF8-482A-9BC9-51C098A30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5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F006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F006C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006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F006C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styleId="Hipercze">
    <w:name w:val="Hyperlink"/>
    <w:basedOn w:val="Domylnaczcionkaakapitu"/>
    <w:uiPriority w:val="99"/>
    <w:unhideWhenUsed/>
    <w:rsid w:val="00FB677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2401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224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5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1202</Words>
  <Characters>7215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Knasiak</dc:creator>
  <cp:keywords/>
  <dc:description/>
  <cp:lastModifiedBy>Agnieszka Dopierała</cp:lastModifiedBy>
  <cp:revision>9</cp:revision>
  <cp:lastPrinted>2024-07-30T12:24:00Z</cp:lastPrinted>
  <dcterms:created xsi:type="dcterms:W3CDTF">2026-10-22T12:44:00Z</dcterms:created>
  <dcterms:modified xsi:type="dcterms:W3CDTF">2026-10-22T13:51:00Z</dcterms:modified>
</cp:coreProperties>
</file>