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  <w:gridCol w:w="196"/>
        <w:gridCol w:w="2885"/>
        <w:gridCol w:w="224"/>
        <w:gridCol w:w="3483"/>
      </w:tblGrid>
      <w:tr w:rsidR="00DA7B89" w:rsidRPr="00847E8E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MINISTERSTWO FUNDUSZY I POLITYKI REGIONALNEJ                            ul. Wspólna 2/4, 00-926 Warszawa</w:t>
            </w:r>
          </w:p>
        </w:tc>
      </w:tr>
      <w:tr w:rsidR="00AF05A4" w:rsidRPr="00847E8E" w:rsidTr="000D3613">
        <w:trPr>
          <w:trHeight w:val="876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153A22" w:rsidRPr="000D3613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:rsidR="00153A22" w:rsidRPr="000D3613" w:rsidRDefault="00734476" w:rsidP="000D36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SZKÓŁ PONADPODSTAWOWYCH IM. JANA PAWŁA II W CZARNE</w:t>
            </w:r>
            <w:r w:rsidR="000D3613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identyfikacyjnyREGON</w:t>
            </w:r>
          </w:p>
          <w:p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:rsidR="00945AC5" w:rsidRPr="00847E8E" w:rsidRDefault="00734476" w:rsidP="00734476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220308667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37"/>
        <w:gridCol w:w="325"/>
        <w:gridCol w:w="325"/>
        <w:gridCol w:w="347"/>
        <w:gridCol w:w="336"/>
        <w:gridCol w:w="357"/>
        <w:gridCol w:w="347"/>
        <w:gridCol w:w="357"/>
        <w:gridCol w:w="336"/>
        <w:gridCol w:w="265"/>
        <w:gridCol w:w="325"/>
        <w:gridCol w:w="336"/>
        <w:gridCol w:w="357"/>
        <w:gridCol w:w="347"/>
        <w:gridCol w:w="336"/>
        <w:gridCol w:w="336"/>
        <w:gridCol w:w="357"/>
        <w:gridCol w:w="347"/>
        <w:gridCol w:w="282"/>
        <w:gridCol w:w="357"/>
        <w:gridCol w:w="336"/>
        <w:gridCol w:w="396"/>
        <w:gridCol w:w="401"/>
        <w:gridCol w:w="325"/>
        <w:gridCol w:w="265"/>
        <w:gridCol w:w="325"/>
        <w:gridCol w:w="336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734476" w:rsidRPr="00847E8E" w:rsidTr="00B25795"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/>
      </w:tblPr>
      <w:tblGrid>
        <w:gridCol w:w="3588"/>
        <w:gridCol w:w="3588"/>
        <w:gridCol w:w="3586"/>
      </w:tblGrid>
      <w:tr w:rsidR="00AF05A4" w:rsidRPr="00847E8E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</w:t>
            </w:r>
            <w:r w:rsidR="00734476">
              <w:rPr>
                <w:rFonts w:ascii="Times New Roman" w:hAnsi="Times New Roman"/>
                <w:sz w:val="21"/>
                <w:szCs w:val="21"/>
              </w:rPr>
              <w:t>o 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734476">
              <w:rPr>
                <w:rFonts w:ascii="Times New Roman" w:hAnsi="Times New Roman"/>
                <w:sz w:val="21"/>
                <w:szCs w:val="21"/>
              </w:rPr>
              <w:t xml:space="preserve"> CZŁUCHOWSKI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73447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34476">
              <w:rPr>
                <w:rFonts w:ascii="Times New Roman" w:hAnsi="Times New Roman"/>
                <w:sz w:val="21"/>
                <w:szCs w:val="21"/>
              </w:rPr>
              <w:t>CZARNE</w:t>
            </w:r>
          </w:p>
        </w:tc>
      </w:tr>
    </w:tbl>
    <w:p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</w:p>
          <w:p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734476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</w:t>
            </w:r>
            <w:bookmarkStart w:id="0" w:name="_GoBack"/>
            <w:bookmarkEnd w:id="0"/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……………………………………….…………………………………………………</w:t>
            </w:r>
          </w:p>
          <w:p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491"/>
        <w:gridCol w:w="2878"/>
        <w:gridCol w:w="491"/>
        <w:gridCol w:w="2701"/>
        <w:gridCol w:w="6"/>
        <w:gridCol w:w="45"/>
        <w:gridCol w:w="30"/>
        <w:gridCol w:w="749"/>
        <w:gridCol w:w="499"/>
      </w:tblGrid>
      <w:tr w:rsidR="00AF05A4" w:rsidRPr="00847E8E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34476" w:rsidRDefault="00734476" w:rsidP="00734476">
            <w:pPr>
              <w:spacing w:after="0" w:line="12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0C8B" w:rsidRPr="00847E8E" w:rsidRDefault="00734476" w:rsidP="00734476">
            <w:pPr>
              <w:spacing w:after="0" w:line="1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73447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 xml:space="preserve">, któreumożliwiają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0D3613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0D3613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tbl>
      <w:tblPr>
        <w:tblpPr w:leftFromText="141" w:rightFromText="141" w:vertAnchor="text" w:horzAnchor="margin" w:tblpY="-2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789"/>
        <w:gridCol w:w="2420"/>
        <w:gridCol w:w="836"/>
        <w:gridCol w:w="2657"/>
        <w:gridCol w:w="801"/>
        <w:gridCol w:w="813"/>
      </w:tblGrid>
      <w:tr w:rsidR="000D3613" w:rsidRPr="00847E8E" w:rsidTr="000D3613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3613" w:rsidRPr="00847E8E" w:rsidRDefault="000D3613" w:rsidP="000D3613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5. Czy podmiot zapewnia w przypadku tego budynku (tych budynków)osobom ze szczególnymi potrzebami możliwość ewakuacji lub uratowania w inny sposób?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0D3613" w:rsidRPr="00847E8E" w:rsidTr="000D3613">
        <w:tc>
          <w:tcPr>
            <w:tcW w:w="115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3613" w:rsidRPr="00847E8E" w:rsidRDefault="000D3613" w:rsidP="000D3613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3613" w:rsidRPr="00847E8E" w:rsidRDefault="000D3613" w:rsidP="000D36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1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3613" w:rsidRPr="00847E8E" w:rsidRDefault="000D3613" w:rsidP="000D3613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3613" w:rsidRPr="00847E8E" w:rsidRDefault="000D3613" w:rsidP="000D361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3613" w:rsidRPr="00847E8E" w:rsidRDefault="000D3613" w:rsidP="000D3613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0D3613" w:rsidRPr="00847E8E" w:rsidRDefault="000D3613" w:rsidP="000D3613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3613" w:rsidRPr="00847E8E" w:rsidRDefault="000D3613" w:rsidP="000D3613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0D3613" w:rsidRPr="00847E8E" w:rsidTr="000D3613">
        <w:tc>
          <w:tcPr>
            <w:tcW w:w="428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3613" w:rsidRPr="00847E8E" w:rsidRDefault="000D3613" w:rsidP="000D3613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71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D3613" w:rsidRPr="00847E8E" w:rsidRDefault="000D3613" w:rsidP="000D3613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0D3613" w:rsidRPr="00847E8E" w:rsidTr="000D3613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3613" w:rsidRPr="00847E8E" w:rsidRDefault="000D3613" w:rsidP="000D3613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0D3613" w:rsidRPr="00847E8E" w:rsidRDefault="000D3613" w:rsidP="000D3613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0D3613" w:rsidRDefault="000D3613" w:rsidP="000D3613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0D3613" w:rsidRDefault="000D3613" w:rsidP="000D3613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D3613" w:rsidRDefault="000D3613" w:rsidP="000D3613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0D3613" w:rsidRDefault="000D3613" w:rsidP="000D3613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:rsidR="000D3613" w:rsidRDefault="000D3613" w:rsidP="000D3613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0D3613" w:rsidRPr="00847E8E" w:rsidRDefault="000D3613" w:rsidP="000D3613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:rsidR="000D3613" w:rsidRDefault="000D3613" w:rsidP="000D3613">
      <w:pPr>
        <w:spacing w:after="0" w:line="120" w:lineRule="auto"/>
      </w:pPr>
    </w:p>
    <w:p w:rsidR="00FC5C0E" w:rsidRPr="000D3613" w:rsidRDefault="00AC4313" w:rsidP="000D3613">
      <w:pPr>
        <w:spacing w:after="0" w:line="120" w:lineRule="auto"/>
        <w:rPr>
          <w:sz w:val="10"/>
          <w:szCs w:val="10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w związku z art. 2 oraz art. 6 pkt 2ustawy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734476" w:rsidP="00734476">
            <w:pPr>
              <w:spacing w:before="60" w:after="0" w:line="12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73447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734476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734476">
              <w:rPr>
                <w:rFonts w:ascii="Times New Roman" w:hAnsi="Times New Roman"/>
                <w:i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734476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2A5AF8">
              <w:rPr>
                <w:rFonts w:ascii="Times New Roman" w:hAnsi="Times New Roman"/>
                <w:sz w:val="20"/>
                <w:szCs w:val="20"/>
              </w:rPr>
              <w:t>www.</w:t>
            </w:r>
            <w:r>
              <w:rPr>
                <w:rFonts w:ascii="Times New Roman" w:hAnsi="Times New Roman"/>
                <w:sz w:val="20"/>
                <w:szCs w:val="20"/>
              </w:rPr>
              <w:t>zspczarne.pl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0D3613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0D3613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00BCA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501B5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="00D82F1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97326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326B" w:rsidRPr="00847E8E" w:rsidRDefault="00F33F27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4"/>
      <w:tr w:rsidR="00825A0A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E00A9D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naktórychpodmiot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potrzebamimożliwość komunikacji w formie określonej w tym wniosku?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6639" w:rsidRPr="00847E8E" w:rsidRDefault="00F33F27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pytaniaodnoszą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4"/>
        <w:gridCol w:w="708"/>
        <w:gridCol w:w="2552"/>
        <w:gridCol w:w="3067"/>
        <w:gridCol w:w="1134"/>
      </w:tblGrid>
      <w:tr w:rsidR="00A22D67" w:rsidRPr="00847E8E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F33F27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33F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F33F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F33F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alternatywnegow sposób inny niż wymienione wyżej: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33"/>
        <w:gridCol w:w="323"/>
        <w:gridCol w:w="323"/>
        <w:gridCol w:w="344"/>
        <w:gridCol w:w="333"/>
        <w:gridCol w:w="354"/>
        <w:gridCol w:w="344"/>
        <w:gridCol w:w="354"/>
        <w:gridCol w:w="333"/>
        <w:gridCol w:w="264"/>
        <w:gridCol w:w="323"/>
        <w:gridCol w:w="333"/>
        <w:gridCol w:w="354"/>
        <w:gridCol w:w="344"/>
        <w:gridCol w:w="333"/>
        <w:gridCol w:w="333"/>
        <w:gridCol w:w="354"/>
        <w:gridCol w:w="344"/>
        <w:gridCol w:w="280"/>
        <w:gridCol w:w="354"/>
        <w:gridCol w:w="333"/>
        <w:gridCol w:w="392"/>
        <w:gridCol w:w="397"/>
        <w:gridCol w:w="323"/>
        <w:gridCol w:w="264"/>
        <w:gridCol w:w="323"/>
        <w:gridCol w:w="333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F33F27" w:rsidRPr="00847E8E" w:rsidTr="00FF3ED3">
        <w:tc>
          <w:tcPr>
            <w:tcW w:w="110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/>
      </w:tblPr>
      <w:tblGrid>
        <w:gridCol w:w="3165"/>
        <w:gridCol w:w="3166"/>
        <w:gridCol w:w="3166"/>
      </w:tblGrid>
      <w:tr w:rsidR="00FF3ED3" w:rsidRPr="00847E8E" w:rsidTr="00F33F27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F3ED3" w:rsidRPr="00847E8E" w:rsidRDefault="00F33F2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F27">
              <w:rPr>
                <w:rFonts w:ascii="Times New Roman" w:hAnsi="Times New Roman"/>
                <w:sz w:val="20"/>
                <w:szCs w:val="20"/>
              </w:rPr>
              <w:t xml:space="preserve">                509573690</w:t>
            </w:r>
          </w:p>
        </w:tc>
        <w:tc>
          <w:tcPr>
            <w:tcW w:w="3166" w:type="dxa"/>
            <w:vAlign w:val="bottom"/>
          </w:tcPr>
          <w:p w:rsidR="00FF3ED3" w:rsidRPr="00F33F27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FF3ED3" w:rsidRPr="00F33F27" w:rsidRDefault="00F33F2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33F27">
              <w:rPr>
                <w:rFonts w:ascii="Times New Roman" w:hAnsi="Times New Roman"/>
                <w:sz w:val="20"/>
                <w:szCs w:val="20"/>
              </w:rPr>
              <w:t>Czarne, 23.03.2021r.</w:t>
            </w:r>
          </w:p>
        </w:tc>
      </w:tr>
      <w:tr w:rsidR="00FF3ED3" w:rsidRPr="00847E8E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</w:p>
    <w:p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Informacja na temat rozkładu pomieszczeń może być zapewnianaw </w:t>
      </w:r>
      <w:r w:rsidR="00C514D4" w:rsidRPr="00847E8E">
        <w:rPr>
          <w:rFonts w:ascii="Times New Roman" w:hAnsi="Times New Roman"/>
          <w:sz w:val="18"/>
        </w:rPr>
        <w:t>sposób: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>infokiosk lub infomat z informacją w języku migowym i/lub z informacją głosową wyposażony w pętlę indukcyjną.</w:t>
      </w:r>
    </w:p>
    <w:p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 xml:space="preserve">eosobom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podobniejak bezprzewodowyzestaw głośnomówiący.</w:t>
      </w:r>
    </w:p>
    <w:p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 xml:space="preserve">aby osobamogła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44" w:rsidRDefault="00560F44" w:rsidP="005840AE">
      <w:pPr>
        <w:spacing w:after="0" w:line="240" w:lineRule="auto"/>
      </w:pPr>
      <w:r>
        <w:separator/>
      </w:r>
    </w:p>
  </w:endnote>
  <w:endnote w:type="continuationSeparator" w:id="1">
    <w:p w:rsidR="00560F44" w:rsidRDefault="00560F44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44" w:rsidRDefault="00560F44" w:rsidP="005840AE">
      <w:pPr>
        <w:spacing w:after="0" w:line="240" w:lineRule="auto"/>
      </w:pPr>
      <w:r>
        <w:separator/>
      </w:r>
    </w:p>
  </w:footnote>
  <w:footnote w:type="continuationSeparator" w:id="1">
    <w:p w:rsidR="00560F44" w:rsidRDefault="00560F44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92"/>
      <w:gridCol w:w="316"/>
    </w:tblGrid>
    <w:tr w:rsidR="00734476" w:rsidRPr="00A32D2F" w:rsidTr="00B971CD">
      <w:trPr>
        <w:jc w:val="right"/>
      </w:trPr>
      <w:tc>
        <w:tcPr>
          <w:tcW w:w="992" w:type="dxa"/>
          <w:vAlign w:val="center"/>
        </w:tcPr>
        <w:p w:rsidR="00734476" w:rsidRPr="00A32D2F" w:rsidRDefault="00734476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:rsidR="00734476" w:rsidRPr="00D141F2" w:rsidRDefault="00F4393F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</w:rPr>
          </w:pPr>
          <w:r w:rsidRPr="00D141F2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734476" w:rsidRPr="00D141F2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2A5AF8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734476" w:rsidRPr="008F642B" w:rsidRDefault="00734476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13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5AF8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06745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0F44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21DB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7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423F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2E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007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11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282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3F27"/>
    <w:rsid w:val="00F34B52"/>
    <w:rsid w:val="00F370FC"/>
    <w:rsid w:val="00F4393F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4167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Sekretariat</cp:lastModifiedBy>
  <cp:revision>7</cp:revision>
  <cp:lastPrinted>2018-01-10T11:08:00Z</cp:lastPrinted>
  <dcterms:created xsi:type="dcterms:W3CDTF">2021-03-23T09:21:00Z</dcterms:created>
  <dcterms:modified xsi:type="dcterms:W3CDTF">2021-03-23T12:02:00Z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