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4"/>
          <w:szCs w:val="24"/>
          <w:lang w:eastAsia="pl-PL"/>
        </w:rPr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Umowa nr AG.220.7.2026</w:t>
      </w:r>
    </w:p>
    <w:p>
      <w:pPr>
        <w:pStyle w:val="Normalny"/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zawarta w dniu [-] r. w Stębarku pomiędzy:</w:t>
      </w:r>
    </w:p>
    <w:p>
      <w:pPr>
        <w:pStyle w:val="Normalny"/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Muzeum Bitwy pod Grunwaldem w Stębarku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, Stębark 1, 14-107 Gierzwałd (siedziba: Stębark 70A), NIP: 7412113786, REGON: 000282121, reprezentowanym przez: dr. Szymona Dreja – Dyrektora, zwanym w dalszej części umowy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„Wynajmującym”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>,</w:t>
      </w:r>
    </w:p>
    <w:p>
      <w:pPr>
        <w:pStyle w:val="Normalny"/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a</w:t>
      </w:r>
    </w:p>
    <w:p>
      <w:pPr>
        <w:pStyle w:val="Normalny"/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[-]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z siedzibą w [-] ul. [-], NIP: [-],REGON: [-] wpisaną do [KRS/CEIDG] pod numerem [-],  reprezentowaną przez: [-], zwaną w dalszej części umowy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„Najemcą”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>,</w:t>
      </w:r>
    </w:p>
    <w:p>
      <w:pPr>
        <w:pStyle w:val="Normalny"/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zwanymi dalej łącznie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„Stronami”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, a każda z osobna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„Stroną”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>.</w:t>
      </w:r>
    </w:p>
    <w:p>
      <w:pPr>
        <w:pStyle w:val="Normalny"/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W wyniku przeprowadzonego postępowania w trybie zapytania ofertowego (znak sprawy: AG.220.7.2026.IS.MS), Strony zawierają umowę o następującej treści:</w:t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1. Przedmiot umowy</w:t>
      </w:r>
    </w:p>
    <w:p>
      <w:pPr>
        <w:pStyle w:val="Normalny"/>
        <w:numPr>
          <w:ilvl w:val="0"/>
          <w:numId w:val="2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Wynajmujący oddaje Najemcy do używania powierzchnię użytkową o wielkości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ok. 2,0–2,5 m²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>, znajdującą się w holu wystawowym (w sąsiedztwie szatni) w budynku Muzeum Bitwy pod Grunwaldem w Stębarku (Stębark 70A, 14-107 Gierzwałd).</w:t>
      </w:r>
    </w:p>
    <w:p>
      <w:pPr>
        <w:pStyle w:val="Normalny"/>
        <w:numPr>
          <w:ilvl w:val="0"/>
          <w:numId w:val="2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Najemca przeznacza przedmiot najmu wyłącznie na postawienie, eksploatację oraz serwisowanie 2 (dwóch) automatów samosprzedających (vendingowych):</w:t>
      </w:r>
    </w:p>
    <w:p>
      <w:pPr>
        <w:pStyle w:val="Normalny"/>
        <w:numPr>
          <w:ilvl w:val="1"/>
          <w:numId w:val="3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Automat 1 (chłodniczy / żywność i zimne napoje):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model [-];</w:t>
      </w:r>
    </w:p>
    <w:p>
      <w:pPr>
        <w:pStyle w:val="Normalny"/>
        <w:numPr>
          <w:ilvl w:val="1"/>
          <w:numId w:val="3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Automat 2 (napoje gorące):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model [-].</w:t>
      </w:r>
    </w:p>
    <w:p>
      <w:pPr>
        <w:pStyle w:val="Normalny"/>
        <w:numPr>
          <w:ilvl w:val="0"/>
          <w:numId w:val="2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Najemca nie jest uprawniony do zmiany przeznaczenia przedmiotu najmu ani do podnajmowania go osobom trzecim bez uprzedniej pisemnej zgody Wynajmującego.</w:t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2. Okres trwania umowy</w:t>
      </w:r>
    </w:p>
    <w:p>
      <w:pPr>
        <w:pStyle w:val="Normalny"/>
        <w:numPr>
          <w:ilvl w:val="0"/>
          <w:numId w:val="4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Umowa zostaje zawarta na czas określony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24 miesięcy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, tj. od dnia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[-] r.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do dnia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[-] r.</w:t>
      </w:r>
    </w:p>
    <w:p>
      <w:pPr>
        <w:pStyle w:val="Normalny"/>
        <w:numPr>
          <w:ilvl w:val="0"/>
          <w:numId w:val="4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Każda ze Stron może rozwiązać Umowę z zachowaniem 1-miesięcznego okresu wypowiedzenia ze skutkiem na koniec miesiąca kalendarzowego z przyczyn organizacyjnych lub ekonomicznych.</w:t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3. Czynsz najmu i opłaty eksploatacyjne</w:t>
      </w:r>
    </w:p>
    <w:p>
      <w:pPr>
        <w:pStyle w:val="Normalny"/>
        <w:numPr>
          <w:ilvl w:val="0"/>
          <w:numId w:val="5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Z tytułu najmu powierzchni Najemca zobowiązuje się płacić Wynajmującemu miesięczny czynsz w wysokości zależnej od sezonu:</w:t>
      </w:r>
    </w:p>
    <w:p>
      <w:pPr>
        <w:pStyle w:val="Normalny"/>
        <w:numPr>
          <w:ilvl w:val="1"/>
          <w:numId w:val="5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Sezon niski (październik – marzec):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czynsz miesięczny netto: [-] PLN + 23% VAT, co stanowi kwotę brutto: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[-] PLN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(słownie:[-]).</w:t>
      </w:r>
    </w:p>
    <w:p>
      <w:pPr>
        <w:pStyle w:val="Normalny"/>
        <w:numPr>
          <w:ilvl w:val="1"/>
          <w:numId w:val="5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Sezon wysoki (kwiecień – wrzesień):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czynsz miesięczny netto: [-] PLN + 23% VAT, co stanowi kwotę brutto: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[-] PLN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(słownie:[-]).</w:t>
      </w:r>
    </w:p>
    <w:p>
      <w:pPr>
        <w:pStyle w:val="Normalny"/>
        <w:numPr>
          <w:ilvl w:val="0"/>
          <w:numId w:val="5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Niezależnie od czynszu najmu, Najemca zobowiązuje się do uiszczania stałej opłaty ryczałtowej za zużycie energii elektrycznej w wysokości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200,00 zł brutto miesięcznie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(162,60 zł netto + 23% VAT) za dwa automaty.</w:t>
      </w:r>
    </w:p>
    <w:p>
      <w:pPr>
        <w:pStyle w:val="Normalny"/>
        <w:numPr>
          <w:ilvl w:val="0"/>
          <w:numId w:val="5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Czynsz oraz opłata ryczałtowa za energię elektryczną płatne będą z góry do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10. dnia każdego miesiąca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kalendarzowego na podstawie faktury VAT wystawionej przez Wynajmującego, przelewem na rachunek bankowy Wynajmującego wskazany na fakturze.</w:t>
      </w:r>
    </w:p>
    <w:p>
      <w:pPr>
        <w:pStyle w:val="Normalny"/>
        <w:numPr>
          <w:ilvl w:val="0"/>
          <w:numId w:val="5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Za dzień zapłaty uważa się dzień uznania rachunku bankowego Wynajmującego.</w:t>
      </w:r>
    </w:p>
    <w:p>
      <w:pPr>
        <w:pStyle w:val="Normalny"/>
        <w:numPr>
          <w:ilvl w:val="0"/>
          <w:numId w:val="5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Za opóźnienie w zapłacie należności Wynajmującemu przysługuje prawo do naliczenia odsetek ustawowych za opóźnienie.</w:t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4. Obowiązki najemcy</w:t>
      </w:r>
    </w:p>
    <w:p>
      <w:pPr>
        <w:pStyle w:val="Normalny"/>
        <w:numPr>
          <w:ilvl w:val="0"/>
          <w:numId w:val="6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Najemca zobowiązuje się do instalacji automatów na własny koszt i ryzyko w terminie do dnia [-]  r.</w:t>
      </w:r>
    </w:p>
    <w:p>
      <w:pPr>
        <w:pStyle w:val="Normalny"/>
        <w:numPr>
          <w:ilvl w:val="0"/>
          <w:numId w:val="6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Automaty muszą być sprawne technicznie, estetyczne, bezpieczne dla użytkowników oraz spełniać wszelkie wymogi sanitarno-higieniczne (w tym wymogi Sanepidu).</w:t>
      </w:r>
    </w:p>
    <w:p>
      <w:pPr>
        <w:pStyle w:val="Normalny"/>
        <w:numPr>
          <w:ilvl w:val="0"/>
          <w:numId w:val="6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Najemca zapewnia dwutorowy system płatności w obu urządzeniach:</w:t>
      </w:r>
    </w:p>
    <w:p>
      <w:pPr>
        <w:pStyle w:val="Normalny"/>
        <w:numPr>
          <w:ilvl w:val="1"/>
          <w:numId w:val="7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gotówkowy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(akceptator monet z funkcją wydawania reszty),</w:t>
      </w:r>
    </w:p>
    <w:p>
      <w:pPr>
        <w:pStyle w:val="Normalny"/>
        <w:numPr>
          <w:ilvl w:val="1"/>
          <w:numId w:val="7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bezgotówkowy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(karty płatnicze, telefon, BLIK).</w:t>
      </w:r>
    </w:p>
    <w:p>
      <w:pPr>
        <w:pStyle w:val="Normalny"/>
        <w:numPr>
          <w:ilvl w:val="0"/>
          <w:numId w:val="6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Najemca zobowiązany jest do:</w:t>
      </w:r>
    </w:p>
    <w:p>
      <w:pPr>
        <w:pStyle w:val="Normalny"/>
        <w:numPr>
          <w:ilvl w:val="1"/>
          <w:numId w:val="8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utrzymania automatów oraz ich najbliższego otoczenia w czystości i należytym stanie higienicznym,</w:t>
      </w:r>
    </w:p>
    <w:p>
      <w:pPr>
        <w:pStyle w:val="Normalny"/>
        <w:numPr>
          <w:ilvl w:val="1"/>
          <w:numId w:val="8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stałego i terminowego uzupełniania asortymentu w towar świeży i wysokiej jakości,</w:t>
      </w:r>
    </w:p>
    <w:p>
      <w:pPr>
        <w:pStyle w:val="Normalny"/>
        <w:numPr>
          <w:ilvl w:val="1"/>
          <w:numId w:val="8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umieszczenia na automatach czytelnej informacji zawierającej dane kontaktowe Najemcy (w tym numer telefonu do zgłaszania awarii i reklamacji),</w:t>
      </w:r>
    </w:p>
    <w:p>
      <w:pPr>
        <w:pStyle w:val="Normalny"/>
        <w:numPr>
          <w:ilvl w:val="1"/>
          <w:numId w:val="8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niezwłocznej reakcji na zgłoszone awarie lub brak asortymentu (czas reakcji serwisu wynosi maksymalnie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24 godziny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od zgłoszenia w dni robocze).</w:t>
      </w:r>
    </w:p>
    <w:p>
      <w:pPr>
        <w:pStyle w:val="Normalny"/>
        <w:numPr>
          <w:ilvl w:val="0"/>
          <w:numId w:val="6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Koszty bieżącej konserwacji, napraw, serwisu oraz ewentualnego ubezpieczenia automatów ponosi w całości Najemca.</w:t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5. Odpowiedzialność stron</w:t>
      </w:r>
    </w:p>
    <w:p>
      <w:pPr>
        <w:pStyle w:val="Normalny"/>
        <w:numPr>
          <w:ilvl w:val="0"/>
          <w:numId w:val="9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Wynajmujący nie ponosi odpowiedzialności za szkody powstałe w automatach oraz utratę towaru lub środków pieniężnych na skutek kradzieży, dewastacji, pożaru, zalania lub innych zdarzeń losowych, chyba że szkoda powstała z wyłącznej winy Wynajmującego.</w:t>
      </w:r>
    </w:p>
    <w:p>
      <w:pPr>
        <w:pStyle w:val="Normalny"/>
        <w:numPr>
          <w:ilvl w:val="0"/>
          <w:numId w:val="9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Najemca ponosi pełną odpowiedzialność za wszelkie szkody wyrządzone Wynajmującemu lub osobom trzecim w związku z eksploatacją automatów oraz jakością oferowanego w nich asortymentu.</w:t>
      </w:r>
    </w:p>
    <w:p>
      <w:pPr>
        <w:pStyle w:val="Normalny"/>
        <w:numPr>
          <w:ilvl w:val="0"/>
          <w:numId w:val="9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Najemca zobowiązuje się do posiadania ważnej polisy ubezpieczenia odpowiedzialności cywilnej (OC) z tytułu prowadzonej działalności gospodarczej przez cały okres trwania Umowy. Kopia polisty stanowi załącznik nr 3 do umowy.</w:t>
      </w:r>
    </w:p>
    <w:p>
      <w:pPr>
        <w:pStyle w:val="Normalny"/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</w:r>
    </w:p>
    <w:p>
      <w:pPr>
        <w:pStyle w:val="Normalny"/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6. Kary umiowne i rozwiązanie umowy bez wypowiedzenia</w:t>
      </w:r>
    </w:p>
    <w:p>
      <w:pPr>
        <w:pStyle w:val="Normalny"/>
        <w:numPr>
          <w:ilvl w:val="0"/>
          <w:numId w:val="10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Wynajmujący może rozwiązać Umowę w trybie natychmiastowym (bez zachowania okresu wypowiedzenia), jeżeli Najemca:</w:t>
      </w:r>
    </w:p>
    <w:p>
      <w:pPr>
        <w:pStyle w:val="Normalny"/>
        <w:numPr>
          <w:ilvl w:val="1"/>
          <w:numId w:val="11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dopuszcza się zwłoki z zapłatą czynszu lub opłaty za energię elektryczną za co najmniej dwa okresy płatności, po uprzednim pisemnym wezwaniu do zapłaty i wyznaczeniu dodatkowego 7-dniowego terminu,</w:t>
      </w:r>
    </w:p>
    <w:p>
      <w:pPr>
        <w:pStyle w:val="Normalny"/>
        <w:numPr>
          <w:ilvl w:val="1"/>
          <w:numId w:val="11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używa przedmiotu najmu w sposób sprzeczny z Umową lub jego przeznaczeniem,</w:t>
      </w:r>
    </w:p>
    <w:p>
      <w:pPr>
        <w:pStyle w:val="Normalny"/>
        <w:numPr>
          <w:ilvl w:val="1"/>
          <w:numId w:val="11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uporczywie zaniedbuje obowiązki w zakresie utrzymania czystości, estetyki lub sprawności urządzeń.</w:t>
      </w:r>
    </w:p>
    <w:p>
      <w:pPr>
        <w:pStyle w:val="Normalny"/>
        <w:numPr>
          <w:ilvl w:val="0"/>
          <w:numId w:val="10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W przypadku rozwiązania Umowy z przyczyn leżących po stronie Najemcy, Najemca zapłaci Wynajmującemu karę umowną w wysokości dwukrotności najwyższego miesięcznego czynszu brutto określonego w § 3 ust. 1.</w:t>
      </w:r>
    </w:p>
    <w:p>
      <w:pPr>
        <w:pStyle w:val="Normalny"/>
        <w:numPr>
          <w:ilvl w:val="0"/>
          <w:numId w:val="10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Po zakończeniu lub rozwiązaniu Umowy Najemca zobowiązany jest do usunięcia automatów i przywrócenia powierzchni do stanu pierwotnego w terminie </w:t>
      </w: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3 dni roboczych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>. W przypadku nieusunięcia urządzeń w terminie, Wynajmujący ma prawo usunąć je na koszt i ryzyko Najemcy.</w:t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7. Osoby do kontaktu i doręczenia</w:t>
      </w:r>
    </w:p>
    <w:p>
      <w:pPr>
        <w:pStyle w:val="Normalny"/>
        <w:numPr>
          <w:ilvl w:val="0"/>
          <w:numId w:val="12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Osobiście odpowiedzialnymi za realizację niniejszej Umowy i bieżący kontakt są:</w:t>
      </w:r>
    </w:p>
    <w:p>
      <w:pPr>
        <w:pStyle w:val="Normalny"/>
        <w:numPr>
          <w:ilvl w:val="1"/>
          <w:numId w:val="13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Ze strony Wynajmującego: Pani Iwona Siebert, tel.: +48 89 647 22 27, e-mail: biuro@muzeumgrunwald.pl.</w:t>
      </w:r>
    </w:p>
    <w:p>
      <w:pPr>
        <w:pStyle w:val="Normalny"/>
        <w:numPr>
          <w:ilvl w:val="1"/>
          <w:numId w:val="13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Ze strony Najemcy: [-] tel.: [-], e-mail: [-].</w:t>
      </w:r>
    </w:p>
    <w:p>
      <w:pPr>
        <w:pStyle w:val="Normalny"/>
        <w:numPr>
          <w:ilvl w:val="0"/>
          <w:numId w:val="12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Wszelkie zawiadomienia i oświadczenia pod rygorem nieważności wymagają formy pisemnej lub elektronicznej (podpisane podpisem kwalifikowanym / zaufanym lub przesłane na wskazane powyżej adresy e-mail).</w:t>
      </w:r>
    </w:p>
    <w:p>
      <w:pPr>
        <w:pStyle w:val="Normalny"/>
        <w:spacing w:lineRule="auto" w:line="240" w:before="100" w:after="100"/>
        <w:jc w:val="center"/>
        <w:rPr>
          <w:rFonts w:ascii="Times New Roman" w:hAnsi="Times New Roman" w:eastAsia="Times New Roman"/>
          <w:b/>
          <w:b/>
          <w:bCs/>
          <w:kern w:val="0"/>
          <w:sz w:val="27"/>
          <w:szCs w:val="27"/>
          <w:lang w:eastAsia="pl-PL"/>
        </w:rPr>
      </w:pPr>
      <w:r>
        <w:rPr>
          <w:rFonts w:eastAsia="Times New Roman" w:ascii="Times New Roman" w:hAnsi="Times New Roman"/>
          <w:b/>
          <w:bCs/>
          <w:kern w:val="0"/>
          <w:sz w:val="27"/>
          <w:szCs w:val="27"/>
          <w:lang w:eastAsia="pl-PL"/>
        </w:rPr>
        <w:t>§ 8. Postanowienia końcowe</w:t>
      </w:r>
    </w:p>
    <w:p>
      <w:pPr>
        <w:pStyle w:val="Normalny"/>
        <w:numPr>
          <w:ilvl w:val="0"/>
          <w:numId w:val="14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Wszelkie zmiany niniejszej Umowy wymagają formy pisemnej pod rygorem nieważności (w postaci aneksu).</w:t>
      </w:r>
    </w:p>
    <w:p>
      <w:pPr>
        <w:pStyle w:val="Normalny"/>
        <w:numPr>
          <w:ilvl w:val="0"/>
          <w:numId w:val="14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W sprawach nieuregulowanych niniejszą Umową mają zastosowanie przepisy Kodeksu Cywilnego.</w:t>
      </w:r>
    </w:p>
    <w:p>
      <w:pPr>
        <w:pStyle w:val="Normalny"/>
        <w:numPr>
          <w:ilvl w:val="0"/>
          <w:numId w:val="14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Ewentualne spory wynikłe na tle stosowania niniejszej Umowy Strony będą starały się rozwiązywać polubownie. W przypadku braku porozumienia spory rozstrzygane będą przez sąd powszechny właściwy miejscowo dla siedziby Wynajmującego.</w:t>
      </w:r>
    </w:p>
    <w:p>
      <w:pPr>
        <w:pStyle w:val="Normalny"/>
        <w:numPr>
          <w:ilvl w:val="0"/>
          <w:numId w:val="14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>Umowę sporządzono w dwóch jednobrzmiących egzemplarzach – po jednym dla każdej ze Stron (lub w formie elektronicznej opatrzona podpisami elektronicznymi obu Stron).</w:t>
      </w:r>
    </w:p>
    <w:p>
      <w:pPr>
        <w:pStyle w:val="Normalny"/>
        <w:numPr>
          <w:ilvl w:val="0"/>
          <w:numId w:val="14"/>
        </w:numPr>
        <w:spacing w:lineRule="auto" w:line="240" w:before="100" w:after="10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Załączniki: </w:t>
      </w:r>
    </w:p>
    <w:p>
      <w:pPr>
        <w:pStyle w:val="Akapitzlist"/>
        <w:numPr>
          <w:ilvl w:val="0"/>
          <w:numId w:val="15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Załącznik nr 1: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Wypełniony Formularz Ofertowy Najemcy z dnia [-] r.</w:t>
      </w:r>
    </w:p>
    <w:p>
      <w:pPr>
        <w:pStyle w:val="Akapitzlist"/>
        <w:numPr>
          <w:ilvl w:val="0"/>
          <w:numId w:val="15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>Załącznik nr 2: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 Zapytanie Ofertowe nr AG.220.7.2026.IS.MS.</w:t>
      </w:r>
    </w:p>
    <w:p>
      <w:pPr>
        <w:pStyle w:val="Akapitzlist"/>
        <w:numPr>
          <w:ilvl w:val="0"/>
          <w:numId w:val="15"/>
        </w:numPr>
        <w:spacing w:lineRule="auto" w:line="240" w:before="100" w:after="100"/>
        <w:jc w:val="both"/>
        <w:rPr/>
      </w:pPr>
      <w:r>
        <w:rPr>
          <w:rStyle w:val="Domylnaczcionkaakapitu"/>
          <w:rFonts w:eastAsia="Times New Roman" w:ascii="Times New Roman" w:hAnsi="Times New Roman"/>
          <w:b/>
          <w:bCs/>
          <w:kern w:val="0"/>
          <w:sz w:val="24"/>
          <w:szCs w:val="24"/>
          <w:lang w:eastAsia="pl-PL"/>
        </w:rPr>
        <w:t xml:space="preserve">Załącznik nr 3: </w:t>
      </w: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>Kopia polisy.</w:t>
      </w:r>
    </w:p>
    <w:p>
      <w:pPr>
        <w:pStyle w:val="Normalny"/>
        <w:tabs>
          <w:tab w:val="clear" w:pos="708"/>
        </w:tabs>
        <w:spacing w:lineRule="auto" w:line="240" w:before="100" w:after="100"/>
        <w:ind w:left="720" w:hanging="0"/>
        <w:jc w:val="both"/>
        <w:rPr>
          <w:rFonts w:ascii="Times New Roman" w:hAnsi="Times New Roman" w:eastAsia="Times New Roman"/>
          <w:kern w:val="0"/>
          <w:sz w:val="24"/>
          <w:szCs w:val="24"/>
          <w:lang w:eastAsia="pl-PL"/>
        </w:rPr>
      </w:pPr>
      <w:r>
        <w:rPr>
          <w:rStyle w:val="Domylnaczcionkaakapitu"/>
          <w:rFonts w:eastAsia="Times New Roman" w:ascii="Times New Roman" w:hAnsi="Times New Roman"/>
          <w:kern w:val="0"/>
          <w:sz w:val="24"/>
          <w:szCs w:val="24"/>
          <w:lang w:eastAsia="pl-PL"/>
        </w:rPr>
        <w:t xml:space="preserve">WYNAJMUJĄCY </w:t>
        <w:tab/>
        <w:tab/>
        <w:tab/>
        <w:tab/>
        <w:tab/>
        <w:tab/>
        <w:tab/>
        <w:t>NAJEMCA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alibri Light">
    <w:charset w:val="00"/>
    <w:family w:val="swiss"/>
    <w:pitch w:val="variable"/>
  </w:font>
  <w:font w:name="Courier New">
    <w:charset w:val="00"/>
    <w:family w:val="modern"/>
    <w:pitch w:val="fixed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Nagwek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Nagwek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Nagwek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pStyle w:val="Nagwek7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pStyle w:val="Nagwek8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pStyle w:val="Nagwek9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sz w:val="22"/>
        <w:szCs w:val="22"/>
        <w:lang w:val="pl-PL" w:eastAsia="en-US" w:bidi="ar-SA"/>
      </w:rPr>
    </w:rPrDefault>
    <w:pPrDefault>
      <w:pPr>
        <w:widowControl/>
        <w:suppressAutoHyphens w:val="false"/>
        <w:spacing w:lineRule="auto" w:line="254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54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Nagwek1">
    <w:name w:val="Heading 1"/>
    <w:basedOn w:val="Normalny"/>
    <w:next w:val="Normalny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Calibri Light" w:hAnsi="Calibri Light" w:eastAsia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Calibri Light" w:hAnsi="Calibri Light" w:eastAsia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qFormat/>
    <w:pPr>
      <w:keepNext w:val="true"/>
      <w:keepLines/>
      <w:numPr>
        <w:ilvl w:val="7"/>
        <w:numId w:val="1"/>
      </w:numPr>
      <w:suppressAutoHyphens w:val="true"/>
      <w:spacing w:before="0"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 w:val="true"/>
      <w:keepLines/>
      <w:numPr>
        <w:ilvl w:val="8"/>
        <w:numId w:val="1"/>
      </w:numPr>
      <w:suppressAutoHyphens w:val="true"/>
      <w:spacing w:before="0" w:after="0"/>
      <w:outlineLvl w:val="8"/>
    </w:pPr>
    <w:rPr>
      <w:rFonts w:eastAsia="Times New Roman"/>
      <w:color w:val="272727"/>
    </w:rPr>
  </w:style>
  <w:style w:type="character" w:styleId="Domylnaczcionkaakapitu">
    <w:name w:val="Domyślna czcionka akapitu"/>
    <w:qFormat/>
    <w:rPr/>
  </w:style>
  <w:style w:type="character" w:styleId="Nagwek1Znak">
    <w:name w:val="Nagłówek 1 Znak"/>
    <w:basedOn w:val="Domylnaczcionkaakapitu"/>
    <w:qFormat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Nagwek2Znak">
    <w:name w:val="Nagłówek 2 Znak"/>
    <w:basedOn w:val="Domylnaczcionkaakapitu"/>
    <w:qFormat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Nagwek3Znak">
    <w:name w:val="Nagłówek 3 Znak"/>
    <w:basedOn w:val="Domylnaczcionkaakapitu"/>
    <w:qFormat/>
    <w:rPr>
      <w:rFonts w:eastAsia="Times New Roman" w:cs="Times New Roman"/>
      <w:color w:val="2F5496"/>
      <w:sz w:val="28"/>
      <w:szCs w:val="28"/>
    </w:rPr>
  </w:style>
  <w:style w:type="character" w:styleId="Nagwek4Znak">
    <w:name w:val="Nagłówek 4 Znak"/>
    <w:basedOn w:val="Domylnaczcionkaakapitu"/>
    <w:qFormat/>
    <w:rPr>
      <w:rFonts w:eastAsia="Times New Roman" w:cs="Times New Roman"/>
      <w:i/>
      <w:iCs/>
      <w:color w:val="2F5496"/>
    </w:rPr>
  </w:style>
  <w:style w:type="character" w:styleId="Nagwek5Znak">
    <w:name w:val="Nagłówek 5 Znak"/>
    <w:basedOn w:val="Domylnaczcionkaakapitu"/>
    <w:qFormat/>
    <w:rPr>
      <w:rFonts w:eastAsia="Times New Roman" w:cs="Times New Roman"/>
      <w:color w:val="2F5496"/>
    </w:rPr>
  </w:style>
  <w:style w:type="character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styleId="TytuZnak">
    <w:name w:val="Tytuł Znak"/>
    <w:basedOn w:val="Domylnaczcionkaakapitu"/>
    <w:qFormat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Wyróżnienie intensywne"/>
    <w:basedOn w:val="Domylnaczcionkaakapitu"/>
    <w:qFormat/>
    <w:rPr>
      <w:i/>
      <w:iCs/>
      <w:color w:val="2F5496"/>
    </w:rPr>
  </w:style>
  <w:style w:type="character" w:styleId="CytatintensywnyZnak">
    <w:name w:val="Cytat intensywny Znak"/>
    <w:basedOn w:val="Domylnaczcionkaakapitu"/>
    <w:qFormat/>
    <w:rPr>
      <w:i/>
      <w:iCs/>
      <w:color w:val="2F5496"/>
    </w:rPr>
  </w:style>
  <w:style w:type="character" w:styleId="Odwoanieintensywne">
    <w:name w:val="Odwołanie intensywne"/>
    <w:basedOn w:val="Domylnaczcionkaakapitu"/>
    <w:qFormat/>
    <w:rPr>
      <w:b/>
      <w:bCs/>
      <w:smallCaps/>
      <w:color w:val="2F5496"/>
      <w:spacing w:val="5"/>
    </w:rPr>
  </w:style>
  <w:style w:type="character" w:styleId="WWCharLFO1LVL2">
    <w:name w:val="WW_CharLFO1LVL2"/>
    <w:qFormat/>
    <w:rPr>
      <w:rFonts w:ascii="Courier New" w:hAnsi="Courier New"/>
      <w:sz w:val="20"/>
    </w:rPr>
  </w:style>
  <w:style w:type="character" w:styleId="WWCharLFO4LVL2">
    <w:name w:val="WW_CharLFO4LVL2"/>
    <w:qFormat/>
    <w:rPr>
      <w:rFonts w:ascii="Courier New" w:hAnsi="Courier New"/>
      <w:sz w:val="20"/>
    </w:rPr>
  </w:style>
  <w:style w:type="character" w:styleId="WWCharLFO5LVL2">
    <w:name w:val="WW_CharLFO5LVL2"/>
    <w:qFormat/>
    <w:rPr>
      <w:rFonts w:ascii="Courier New" w:hAnsi="Courier New"/>
      <w:sz w:val="20"/>
    </w:rPr>
  </w:style>
  <w:style w:type="character" w:styleId="WWCharLFO9LVL2">
    <w:name w:val="WW_CharLFO9LVL2"/>
    <w:qFormat/>
    <w:rPr>
      <w:rFonts w:ascii="Courier New" w:hAnsi="Courier New"/>
      <w:sz w:val="20"/>
    </w:rPr>
  </w:style>
  <w:style w:type="character" w:styleId="WWCharLFO11LVL2">
    <w:name w:val="WW_CharLFO11LVL2"/>
    <w:qFormat/>
    <w:rPr>
      <w:rFonts w:ascii="Courier New" w:hAnsi="Courier New"/>
      <w:sz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S Gothic" w:cs="Tahoma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54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ytu">
    <w:name w:val="Title"/>
    <w:basedOn w:val="Normalny"/>
    <w:next w:val="Normalny"/>
    <w:qFormat/>
    <w:pPr>
      <w:suppressAutoHyphens w:val="true"/>
      <w:spacing w:lineRule="auto" w:line="240" w:before="0" w:after="80"/>
    </w:pPr>
    <w:rPr>
      <w:rFonts w:ascii="Calibri Light" w:hAnsi="Calibri Light" w:eastAsia="Times New Roman"/>
      <w:spacing w:val="-10"/>
      <w:sz w:val="56"/>
      <w:szCs w:val="56"/>
    </w:rPr>
  </w:style>
  <w:style w:type="paragraph" w:styleId="Podtytu">
    <w:name w:val="Subtitle"/>
    <w:basedOn w:val="Normalny"/>
    <w:next w:val="Normalny"/>
    <w:qFormat/>
    <w:pPr>
      <w:suppressAutoHyphens w:val="true"/>
    </w:pPr>
    <w:rPr>
      <w:rFonts w:eastAsia="Times New Roman"/>
      <w:color w:val="595959"/>
      <w:spacing w:val="15"/>
      <w:sz w:val="28"/>
      <w:szCs w:val="28"/>
    </w:rPr>
  </w:style>
  <w:style w:type="paragraph" w:styleId="Cytat">
    <w:name w:val="Cytat"/>
    <w:basedOn w:val="Normalny"/>
    <w:next w:val="Normalny"/>
    <w:qFormat/>
    <w:pPr>
      <w:suppressAutoHyphens w:val="true"/>
      <w:spacing w:before="160" w:after="160"/>
      <w:jc w:val="center"/>
    </w:pPr>
    <w:rPr>
      <w:i/>
      <w:iCs/>
      <w:color w:val="404040"/>
    </w:rPr>
  </w:style>
  <w:style w:type="paragraph" w:styleId="Akapitzlist">
    <w:name w:val="Akapit z listą"/>
    <w:basedOn w:val="Normalny"/>
    <w:qFormat/>
    <w:pPr>
      <w:tabs>
        <w:tab w:val="clear" w:pos="708"/>
      </w:tabs>
      <w:suppressAutoHyphens w:val="true"/>
      <w:ind w:left="720" w:hanging="0"/>
    </w:pPr>
    <w:rPr/>
  </w:style>
  <w:style w:type="paragraph" w:styleId="Cytatintensywny">
    <w:name w:val="Cytat intensywny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tabs>
        <w:tab w:val="clear" w:pos="708"/>
      </w:tabs>
      <w:suppressAutoHyphens w:val="true"/>
      <w:spacing w:before="360" w:after="360"/>
      <w:ind w:left="864" w:right="864" w:hanging="0"/>
      <w:jc w:val="center"/>
    </w:pPr>
    <w:rPr>
      <w:i/>
      <w:iCs/>
      <w:color w:val="2F549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LibreOffice/7.4.4.2$Windows_x86 LibreOffice_project/85569322deea74ec9134968a29af2df5663baa21</Application>
  <AppVersion>15.0000</AppVersion>
  <Pages>3</Pages>
  <Words>956</Words>
  <Characters>5737</Characters>
  <CharactersWithSpaces>6680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2026-10-19T08:20:00Z</dcterms:created>
  <dc:creator>monika stepniewska</dc:creator>
  <dc:description/>
  <dc:language>pl-PL</dc:language>
  <cp:lastModifiedBy>Iwona</cp:lastModifiedBy>
  <dcterms:modified xsi:type="dcterms:W3CDTF">2026-10-19T08:20:00Z</dcterms:modified>
  <cp:revision>2</cp:revision>
  <dc:subject/>
  <dc:title/>
</cp:coreProperties>
</file>