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97" w:rsidRDefault="00840A6B">
      <w:pPr>
        <w:pStyle w:val="Dz1"/>
        <w:spacing w:before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INFORMACJA DODATKOWA</w:t>
      </w:r>
      <w:r>
        <w:rPr>
          <w:rFonts w:ascii="Arial" w:hAnsi="Arial" w:cs="Arial"/>
        </w:rPr>
        <w:br/>
      </w:r>
    </w:p>
    <w:p w:rsidR="00270C97" w:rsidRDefault="00840A6B">
      <w:pPr>
        <w:pStyle w:val="Dz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</w:t>
      </w:r>
      <w:r>
        <w:rPr>
          <w:rFonts w:ascii="Arial" w:hAnsi="Arial" w:cs="Arial"/>
          <w:sz w:val="24"/>
          <w:szCs w:val="24"/>
        </w:rPr>
        <w:tab/>
        <w:t>Wprowadzenie do sprawozdania finansowego</w:t>
      </w:r>
    </w:p>
    <w:p w:rsidR="00270C97" w:rsidRDefault="00270C97">
      <w:pPr>
        <w:pStyle w:val="Artbezakapit"/>
        <w:rPr>
          <w:rFonts w:ascii="Arial" w:hAnsi="Arial" w:cs="Arial"/>
          <w:b/>
          <w:bCs/>
          <w:sz w:val="20"/>
          <w:szCs w:val="20"/>
        </w:rPr>
      </w:pPr>
    </w:p>
    <w:p w:rsidR="00270C97" w:rsidRDefault="00840A6B">
      <w:pPr>
        <w:pStyle w:val="Standard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</w:p>
    <w:p w:rsidR="0092607C" w:rsidRDefault="00840A6B" w:rsidP="0092607C">
      <w:pPr>
        <w:pStyle w:val="Standard"/>
        <w:spacing w:after="240"/>
        <w:ind w:left="851" w:hanging="851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1.1 Nazwa jednostki</w:t>
      </w:r>
      <w:r w:rsidR="007E4837" w:rsidRPr="0092607C">
        <w:rPr>
          <w:rFonts w:ascii="Arial" w:hAnsi="Arial" w:cs="Arial"/>
          <w:b/>
          <w:bCs/>
          <w:sz w:val="20"/>
          <w:szCs w:val="20"/>
        </w:rPr>
        <w:t xml:space="preserve">: </w:t>
      </w:r>
    </w:p>
    <w:p w:rsidR="00270C97" w:rsidRPr="0092607C" w:rsidRDefault="007E4837" w:rsidP="0092607C">
      <w:pPr>
        <w:pStyle w:val="Standard"/>
        <w:spacing w:after="240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Szkoła Podstawowa nr 1 w Siemianowicach Śląskich</w:t>
      </w:r>
    </w:p>
    <w:p w:rsidR="0092607C" w:rsidRDefault="00840A6B" w:rsidP="0092607C">
      <w:pPr>
        <w:pStyle w:val="Standard"/>
        <w:spacing w:after="240"/>
        <w:ind w:left="851" w:hanging="851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1.2 Siedziba jednostki</w:t>
      </w:r>
      <w:r w:rsidR="007E4837" w:rsidRPr="0092607C">
        <w:rPr>
          <w:rFonts w:ascii="Arial" w:hAnsi="Arial" w:cs="Arial"/>
          <w:b/>
          <w:bCs/>
          <w:sz w:val="20"/>
          <w:szCs w:val="20"/>
        </w:rPr>
        <w:t xml:space="preserve">: </w:t>
      </w:r>
    </w:p>
    <w:p w:rsidR="00270C97" w:rsidRPr="0092607C" w:rsidRDefault="007E4837" w:rsidP="0092607C">
      <w:pPr>
        <w:pStyle w:val="Standard"/>
        <w:spacing w:after="240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41-103 Siemianowice Śląskie,  ul. Niepodległości 47</w:t>
      </w:r>
    </w:p>
    <w:p w:rsidR="0092607C" w:rsidRDefault="00840A6B" w:rsidP="0092607C">
      <w:pPr>
        <w:pStyle w:val="Standard"/>
        <w:spacing w:after="240"/>
        <w:ind w:left="851" w:hanging="851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1.3 Adres jednostki</w:t>
      </w:r>
      <w:r w:rsidR="007E4837" w:rsidRPr="0092607C">
        <w:rPr>
          <w:rFonts w:ascii="Arial" w:hAnsi="Arial" w:cs="Arial"/>
          <w:b/>
          <w:bCs/>
          <w:sz w:val="20"/>
          <w:szCs w:val="20"/>
        </w:rPr>
        <w:t xml:space="preserve">: </w:t>
      </w:r>
    </w:p>
    <w:p w:rsidR="00270C97" w:rsidRPr="0092607C" w:rsidRDefault="007E4837" w:rsidP="0092607C">
      <w:pPr>
        <w:pStyle w:val="Standard"/>
        <w:spacing w:after="240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41-103 Siemianowice Śląskie,  ul. Niepodległości 47</w:t>
      </w:r>
    </w:p>
    <w:p w:rsidR="00270C97" w:rsidRPr="0092607C" w:rsidRDefault="00840A6B" w:rsidP="0092607C">
      <w:pPr>
        <w:pStyle w:val="Standard"/>
        <w:spacing w:after="240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1.4 Podstawowy przedmiot działalności jednostki</w:t>
      </w:r>
      <w:r w:rsidR="000073F1" w:rsidRPr="0092607C">
        <w:rPr>
          <w:rFonts w:ascii="Arial" w:hAnsi="Arial" w:cs="Arial"/>
          <w:b/>
          <w:bCs/>
          <w:sz w:val="20"/>
          <w:szCs w:val="20"/>
        </w:rPr>
        <w:t>:</w:t>
      </w:r>
    </w:p>
    <w:p w:rsidR="000073F1" w:rsidRPr="0092607C" w:rsidRDefault="000073F1" w:rsidP="0092607C">
      <w:pPr>
        <w:pStyle w:val="Standard"/>
        <w:spacing w:after="240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Przedmiotem działalności szkoły jest działalność dydaktyczna, wychowawcza i opiekuńcza na poziomie szkoły podstawowej</w:t>
      </w:r>
    </w:p>
    <w:p w:rsidR="0092607C" w:rsidRDefault="00840A6B" w:rsidP="0092607C">
      <w:pPr>
        <w:pStyle w:val="Standard"/>
        <w:spacing w:after="240"/>
        <w:ind w:left="851" w:hanging="851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2. Wskazanie okresu objętego sprawozdaniem</w:t>
      </w:r>
      <w:r w:rsidR="007E4837" w:rsidRPr="0092607C">
        <w:rPr>
          <w:rFonts w:ascii="Arial" w:hAnsi="Arial" w:cs="Arial"/>
          <w:b/>
          <w:bCs/>
          <w:sz w:val="20"/>
          <w:szCs w:val="20"/>
        </w:rPr>
        <w:t xml:space="preserve">: </w:t>
      </w:r>
    </w:p>
    <w:p w:rsidR="00270C97" w:rsidRPr="0092607C" w:rsidRDefault="007E4837" w:rsidP="0092607C">
      <w:pPr>
        <w:pStyle w:val="Standard"/>
        <w:spacing w:after="240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01.01.2018 r. – 31.12.2018 r.</w:t>
      </w:r>
    </w:p>
    <w:p w:rsidR="00270C97" w:rsidRPr="0092607C" w:rsidRDefault="00840A6B" w:rsidP="00FA7E7F">
      <w:pPr>
        <w:pStyle w:val="Standard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3. Wskazanie, że sprawozdanie finansowe zawiera dane łączne, jeżeli w skład jednostki nadrzędnej lub jednostki samorządu terytorialnego wchodzą jednostki sporządzające samodzielne sprawozdania finansowe</w:t>
      </w:r>
    </w:p>
    <w:p w:rsidR="0030419C" w:rsidRPr="0092607C" w:rsidRDefault="00FA7E7F" w:rsidP="00FA7E7F">
      <w:pPr>
        <w:pStyle w:val="Standard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Nie dotyczy</w:t>
      </w:r>
    </w:p>
    <w:p w:rsidR="00270C97" w:rsidRPr="0092607C" w:rsidRDefault="00840A6B" w:rsidP="00FA7E7F">
      <w:pPr>
        <w:pStyle w:val="Standard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92607C">
        <w:rPr>
          <w:rFonts w:ascii="Arial" w:hAnsi="Arial" w:cs="Arial"/>
          <w:b/>
          <w:bCs/>
          <w:sz w:val="20"/>
          <w:szCs w:val="20"/>
        </w:rPr>
        <w:t>4. Omówienie przyjętych zasad (polityki) rachunkowości,  w tym metod wyceny aktywów i pasywów (także amortyzacji)</w:t>
      </w:r>
    </w:p>
    <w:p w:rsidR="0030419C" w:rsidRPr="0092607C" w:rsidRDefault="0030419C" w:rsidP="0092607C">
      <w:pPr>
        <w:pStyle w:val="Style14"/>
        <w:widowControl/>
        <w:tabs>
          <w:tab w:val="left" w:pos="283"/>
        </w:tabs>
        <w:spacing w:before="336" w:line="264" w:lineRule="exact"/>
        <w:ind w:left="283" w:firstLine="426"/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</w:pPr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 xml:space="preserve">Szkoła Podstawowa nr 1 w Siemianowicach Śląskich, jako jednostka organizacyjna Gminy Siemianowice Śląskie, prowadzi rachunkowość zgodnie z zasadami określonymi w ustawie z dnia 29 września 1994 r. o rachunkowości (Dz. U. z 2018 r. poz. 395, z </w:t>
      </w:r>
      <w:proofErr w:type="spellStart"/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>późn</w:t>
      </w:r>
      <w:proofErr w:type="spellEnd"/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 xml:space="preserve">. zm.), </w:t>
      </w:r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br/>
        <w:t>z uwzględnieniem przepisów szczególnych wynikających z Rozporządzenia Ministra Finansów z dnia 13 września 2017 r. w sprawie szczególnych zasad rachunkowości oraz planów kont dla b</w:t>
      </w:r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>u</w:t>
      </w:r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>dżetu państwa, budżetów jednostek samorządu terytorialnego, jednostek budżetowych, samorz</w:t>
      </w:r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>ą</w:t>
      </w:r>
      <w:r w:rsidRPr="0092607C">
        <w:rPr>
          <w:rFonts w:ascii="Arial" w:eastAsia="Times New Roman" w:hAnsi="Arial" w:cs="Arial"/>
          <w:bCs/>
          <w:kern w:val="3"/>
          <w:sz w:val="20"/>
          <w:szCs w:val="20"/>
          <w:lang w:eastAsia="zh-CN"/>
        </w:rPr>
        <w:t>dowych zakładów budżetowych, państwowych funduszy celowych oraz państwowych jednostek budżetowych mających siedzibę poza granicami Rzeczypospolitej Polskiej (Dz. U. z 2017 r. poz. 1911).</w:t>
      </w:r>
    </w:p>
    <w:p w:rsidR="0030419C" w:rsidRPr="0092607C" w:rsidRDefault="0030419C" w:rsidP="0092607C">
      <w:pPr>
        <w:pStyle w:val="Standard"/>
        <w:ind w:left="284" w:firstLine="425"/>
        <w:jc w:val="both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 xml:space="preserve">Zgodnie z art. 28 ustawy o rachunkowości, aktywa i pasywa wycenia się nie rzadziej niż na dzień bilansowy. Szkoła Podstawowa nr 1 w Siemianowicach Śląskich stosuje zasady wyceny aktywów i pasywów według reguł określonych w ustawie z dnia 29 września 1994 r. o rachunkowości (Dz. U. z 2018 r. poz. 395, z </w:t>
      </w:r>
      <w:proofErr w:type="spellStart"/>
      <w:r w:rsidRPr="0092607C">
        <w:rPr>
          <w:rFonts w:ascii="Arial" w:hAnsi="Arial" w:cs="Arial"/>
          <w:bCs/>
          <w:sz w:val="20"/>
          <w:szCs w:val="20"/>
        </w:rPr>
        <w:t>późn</w:t>
      </w:r>
      <w:proofErr w:type="spellEnd"/>
      <w:r w:rsidRPr="0092607C">
        <w:rPr>
          <w:rFonts w:ascii="Arial" w:hAnsi="Arial" w:cs="Arial"/>
          <w:bCs/>
          <w:sz w:val="20"/>
          <w:szCs w:val="20"/>
        </w:rPr>
        <w:t>. zm.) oraz w przepisach szczególnych wydanych na podstawie ustawy o finansach publicznych.</w:t>
      </w:r>
    </w:p>
    <w:p w:rsidR="0092607C" w:rsidRDefault="00840A6B" w:rsidP="0092607C">
      <w:pPr>
        <w:pStyle w:val="Standard"/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 Inne informacje</w:t>
      </w:r>
    </w:p>
    <w:p w:rsidR="0092607C" w:rsidRPr="0092607C" w:rsidRDefault="0092607C" w:rsidP="0092607C">
      <w:pPr>
        <w:pStyle w:val="Standard"/>
        <w:ind w:left="851"/>
        <w:rPr>
          <w:rFonts w:ascii="Arial" w:hAnsi="Arial" w:cs="Arial"/>
          <w:bCs/>
          <w:sz w:val="20"/>
          <w:szCs w:val="20"/>
        </w:rPr>
      </w:pPr>
      <w:r w:rsidRPr="0092607C">
        <w:rPr>
          <w:rFonts w:ascii="Arial" w:hAnsi="Arial" w:cs="Arial"/>
          <w:bCs/>
          <w:sz w:val="20"/>
          <w:szCs w:val="20"/>
        </w:rPr>
        <w:t>Brak</w:t>
      </w:r>
    </w:p>
    <w:p w:rsidR="00A22028" w:rsidRDefault="00A22028">
      <w:pPr>
        <w:pStyle w:val="Dz1"/>
        <w:rPr>
          <w:rFonts w:ascii="Arial" w:hAnsi="Arial" w:cs="Arial"/>
          <w:sz w:val="24"/>
          <w:szCs w:val="24"/>
        </w:rPr>
        <w:sectPr w:rsidR="00A22028">
          <w:footerReference w:type="default" r:id="rId9"/>
          <w:pgSz w:w="11906" w:h="16838"/>
          <w:pgMar w:top="1033" w:right="1418" w:bottom="1033" w:left="1418" w:header="708" w:footer="709" w:gutter="0"/>
          <w:cols w:space="708"/>
        </w:sectPr>
      </w:pPr>
    </w:p>
    <w:p w:rsidR="00270C97" w:rsidRDefault="00840A6B">
      <w:pPr>
        <w:pStyle w:val="Dz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II.</w:t>
      </w:r>
      <w:r>
        <w:rPr>
          <w:rFonts w:ascii="Arial" w:hAnsi="Arial" w:cs="Arial"/>
          <w:sz w:val="24"/>
          <w:szCs w:val="24"/>
        </w:rPr>
        <w:tab/>
        <w:t>Dodatkowe informacje i objaśnienia, obejmują w szczególności</w:t>
      </w:r>
    </w:p>
    <w:p w:rsidR="00270C97" w:rsidRDefault="00840A6B">
      <w:pPr>
        <w:pStyle w:val="Dz11"/>
        <w:spacing w:before="240" w:after="120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>1.</w:t>
      </w:r>
    </w:p>
    <w:p w:rsidR="00270C97" w:rsidRDefault="00840A6B">
      <w:pPr>
        <w:pStyle w:val="Dz11"/>
        <w:spacing w:before="240" w:after="120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>1.1. Szczegółowy zakres zmian wartości grup rodzajowych środków trwałych, wartości niematerialnych i prawnych zawierający stan tych aktywów na początek roku obrotowego, zwiększenia i zmniejszenia z tytułu: aktualizacji wartości, nabycia, rozchodu, przemieszczenia wewnętrznego oraz stan końcowy, a dla majątku amortyzowanego – podobne przedstawienie stanów i tytułów zmian dotychczasowej amortyzacji lub umorzenia</w:t>
      </w:r>
    </w:p>
    <w:p w:rsidR="00270C97" w:rsidRDefault="00270C97">
      <w:pPr>
        <w:pStyle w:val="Nazwatabeli"/>
        <w:spacing w:before="120" w:after="120"/>
        <w:rPr>
          <w:rFonts w:ascii="Arial" w:hAnsi="Arial" w:cs="Arial"/>
          <w:sz w:val="20"/>
          <w:szCs w:val="20"/>
        </w:rPr>
      </w:pPr>
    </w:p>
    <w:p w:rsidR="006D4754" w:rsidRDefault="006D4754">
      <w:pPr>
        <w:pStyle w:val="Nazwatabeli"/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9380220" cy="326164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0220" cy="326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EDF" w:rsidRDefault="00D32EDF">
      <w:pPr>
        <w:rPr>
          <w:rFonts w:ascii="Arial" w:eastAsia="Times New Roman" w:hAnsi="Arial" w:cs="Arial"/>
          <w:b/>
          <w:bCs/>
          <w:color w:val="000000"/>
          <w:spacing w:val="2"/>
          <w:sz w:val="20"/>
          <w:szCs w:val="20"/>
          <w:lang w:bidi="ar-SA"/>
        </w:rPr>
      </w:pPr>
    </w:p>
    <w:p w:rsidR="00A22028" w:rsidRDefault="00A22028">
      <w:pPr>
        <w:pStyle w:val="1"/>
        <w:ind w:left="227"/>
        <w:rPr>
          <w:rFonts w:ascii="Arial" w:hAnsi="Arial" w:cs="Arial"/>
          <w:b/>
          <w:bCs/>
          <w:sz w:val="20"/>
          <w:szCs w:val="20"/>
        </w:rPr>
        <w:sectPr w:rsidR="00A22028" w:rsidSect="00A22028">
          <w:pgSz w:w="16838" w:h="11906" w:orient="landscape"/>
          <w:pgMar w:top="1418" w:right="1033" w:bottom="1418" w:left="1033" w:header="708" w:footer="709" w:gutter="0"/>
          <w:cols w:space="708"/>
          <w:docGrid w:linePitch="326"/>
        </w:sectPr>
      </w:pPr>
    </w:p>
    <w:p w:rsidR="00270C97" w:rsidRDefault="00840A6B">
      <w:pPr>
        <w:pStyle w:val="1"/>
        <w:ind w:left="22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1.2. Aktualna wartość rynkowa środków trwałych, w tym dóbr kultury- o ile jednostka dysponuje takimi informacjami</w:t>
      </w:r>
    </w:p>
    <w:p w:rsidR="00270C97" w:rsidRDefault="00270C97">
      <w:pPr>
        <w:pStyle w:val="1"/>
        <w:ind w:left="227"/>
      </w:pPr>
    </w:p>
    <w:tbl>
      <w:tblPr>
        <w:tblW w:w="901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0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Aktualna wartość rynkowa</w:t>
            </w:r>
          </w:p>
        </w:tc>
        <w:tc>
          <w:tcPr>
            <w:tcW w:w="170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Grunty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Budynki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Dobra kultury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Ogółem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200" w:lineRule="atLeast"/>
        <w:ind w:firstLine="0"/>
        <w:rPr>
          <w:sz w:val="16"/>
          <w:szCs w:val="16"/>
        </w:rPr>
      </w:pPr>
    </w:p>
    <w:p w:rsidR="00270C97" w:rsidRDefault="00270C97">
      <w:pPr>
        <w:pStyle w:val="1"/>
        <w:ind w:left="227"/>
        <w:rPr>
          <w:rFonts w:ascii="Arial" w:hAnsi="Arial" w:cs="Arial"/>
          <w:b/>
          <w:bCs/>
          <w:sz w:val="20"/>
          <w:szCs w:val="20"/>
        </w:rPr>
      </w:pPr>
    </w:p>
    <w:p w:rsidR="00270C97" w:rsidRDefault="00840A6B">
      <w:pPr>
        <w:pStyle w:val="1"/>
        <w:ind w:left="22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1.3. Kwota dokonanych w trakcie roku obrotowego odpisów aktualizujących  wartość aktywów trwałych odrębnie dla długoterminowych aktywów niefinansowych oraz długoterminowych aktywów finansowych</w:t>
      </w:r>
    </w:p>
    <w:p w:rsidR="00270C97" w:rsidRDefault="00270C97">
      <w:pPr>
        <w:pStyle w:val="1"/>
        <w:ind w:left="227"/>
        <w:rPr>
          <w:rFonts w:ascii="Arial" w:hAnsi="Arial" w:cs="Arial"/>
          <w:sz w:val="20"/>
          <w:szCs w:val="20"/>
        </w:rPr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 odpisów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Długoterminowe aktywa niefinansowe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ind w:right="220"/>
              <w:jc w:val="righ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Długoterminowe aktywa finansowe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ind w:right="220"/>
              <w:jc w:val="righ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Ogółem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ind w:right="220"/>
              <w:jc w:val="righ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200" w:lineRule="atLeast"/>
        <w:rPr>
          <w:sz w:val="16"/>
          <w:szCs w:val="16"/>
        </w:rPr>
      </w:pPr>
    </w:p>
    <w:p w:rsidR="00270C97" w:rsidRDefault="00270C97">
      <w:pPr>
        <w:pStyle w:val="1"/>
        <w:ind w:left="227"/>
        <w:rPr>
          <w:b/>
          <w:bCs/>
        </w:rPr>
      </w:pPr>
    </w:p>
    <w:p w:rsidR="00270C97" w:rsidRDefault="00270C97">
      <w:pPr>
        <w:pStyle w:val="1"/>
        <w:ind w:left="227"/>
        <w:rPr>
          <w:b/>
          <w:bCs/>
        </w:rPr>
      </w:pPr>
    </w:p>
    <w:p w:rsidR="00270C97" w:rsidRDefault="00840A6B">
      <w:pPr>
        <w:pStyle w:val="1"/>
        <w:ind w:left="22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1.4. Wartość gruntów użytkowanych wieczyście</w:t>
      </w:r>
    </w:p>
    <w:p w:rsidR="00270C97" w:rsidRDefault="00270C97">
      <w:pPr>
        <w:pStyle w:val="Art"/>
      </w:pPr>
    </w:p>
    <w:tbl>
      <w:tblPr>
        <w:tblW w:w="9097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"/>
        <w:gridCol w:w="1353"/>
        <w:gridCol w:w="1924"/>
        <w:gridCol w:w="1443"/>
        <w:gridCol w:w="1263"/>
        <w:gridCol w:w="1263"/>
        <w:gridCol w:w="1476"/>
      </w:tblGrid>
      <w:tr w:rsidR="00270C97">
        <w:trPr>
          <w:cantSplit/>
          <w:trHeight w:val="60"/>
        </w:trPr>
        <w:tc>
          <w:tcPr>
            <w:tcW w:w="375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353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Standard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Nazwa grupy rodzajowej </w:t>
            </w:r>
            <w:r>
              <w:rPr>
                <w:rFonts w:ascii="Mangal" w:hAnsi="Mangal" w:cs="Mangal"/>
                <w:b/>
                <w:bCs/>
                <w:sz w:val="14"/>
                <w:szCs w:val="14"/>
              </w:rPr>
              <w:t>składnika aktywów według układu w bilansie</w:t>
            </w:r>
          </w:p>
          <w:p w:rsidR="00270C97" w:rsidRDefault="00270C97">
            <w:pPr>
              <w:pStyle w:val="Tabelarodek"/>
              <w:rPr>
                <w:b/>
                <w:bCs/>
              </w:rPr>
            </w:pPr>
          </w:p>
        </w:tc>
        <w:tc>
          <w:tcPr>
            <w:tcW w:w="1924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443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  <w:r>
              <w:rPr>
                <w:b/>
                <w:bCs/>
              </w:rPr>
              <w:br/>
              <w:t>początek roku obrotowego</w:t>
            </w:r>
          </w:p>
        </w:tc>
        <w:tc>
          <w:tcPr>
            <w:tcW w:w="2526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Zmiany stanu w trakcie</w:t>
            </w:r>
            <w:r>
              <w:rPr>
                <w:b/>
                <w:bCs/>
              </w:rPr>
              <w:br/>
              <w:t>roku obrotowego</w:t>
            </w:r>
          </w:p>
        </w:tc>
        <w:tc>
          <w:tcPr>
            <w:tcW w:w="1476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  <w:r>
              <w:rPr>
                <w:b/>
                <w:bCs/>
              </w:rPr>
              <w:br/>
              <w:t>koniec roku</w:t>
            </w:r>
            <w:r>
              <w:rPr>
                <w:b/>
                <w:bCs/>
              </w:rPr>
              <w:br/>
              <w:t>obrotowego</w:t>
            </w:r>
            <w:r>
              <w:rPr>
                <w:b/>
                <w:bCs/>
              </w:rPr>
              <w:br/>
              <w:t>(4 + 5 – 6)</w:t>
            </w:r>
          </w:p>
        </w:tc>
      </w:tr>
      <w:tr w:rsidR="00270C97">
        <w:trPr>
          <w:cantSplit/>
          <w:trHeight w:val="60"/>
        </w:trPr>
        <w:tc>
          <w:tcPr>
            <w:tcW w:w="375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353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924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443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zwiększenia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zmniejszenia</w:t>
            </w:r>
          </w:p>
        </w:tc>
        <w:tc>
          <w:tcPr>
            <w:tcW w:w="1476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</w:tr>
      <w:tr w:rsidR="00270C97">
        <w:trPr>
          <w:cantSplit/>
          <w:trHeight w:val="60"/>
        </w:trPr>
        <w:tc>
          <w:tcPr>
            <w:tcW w:w="37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270C97">
        <w:trPr>
          <w:trHeight w:val="60"/>
        </w:trPr>
        <w:tc>
          <w:tcPr>
            <w:tcW w:w="375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13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Standard"/>
              <w:spacing w:line="100" w:lineRule="atLeast"/>
            </w:pPr>
            <w:r>
              <w:rPr>
                <w:rFonts w:ascii="Arial" w:hAnsi="Arial" w:cs="Helvetica"/>
                <w:color w:val="00000A"/>
                <w:sz w:val="14"/>
                <w:szCs w:val="14"/>
              </w:rPr>
              <w:t xml:space="preserve">Łączna wartość gruntów </w:t>
            </w:r>
            <w:r>
              <w:rPr>
                <w:rFonts w:ascii="Mangal" w:hAnsi="Mangal" w:cs="Helvetica"/>
                <w:color w:val="00000A"/>
                <w:sz w:val="14"/>
                <w:szCs w:val="14"/>
              </w:rPr>
              <w:t>użytkowanych wieczyście ustalona na podstawie dokumentów</w:t>
            </w:r>
          </w:p>
          <w:p w:rsidR="00270C97" w:rsidRDefault="00270C97">
            <w:pPr>
              <w:pStyle w:val="Brakstyluakapitowego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14"/>
                <w:szCs w:val="14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Powierzchnia 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1155"/>
        </w:trPr>
        <w:tc>
          <w:tcPr>
            <w:tcW w:w="375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751EF" w:rsidRDefault="00D751EF"/>
        </w:tc>
        <w:tc>
          <w:tcPr>
            <w:tcW w:w="13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Wartość (zł)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75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13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Standard"/>
              <w:spacing w:line="100" w:lineRule="atLeast"/>
            </w:pPr>
            <w:r>
              <w:rPr>
                <w:rFonts w:ascii="Arial" w:hAnsi="Arial" w:cs="Helvetica"/>
                <w:color w:val="00000A"/>
                <w:sz w:val="14"/>
                <w:szCs w:val="14"/>
              </w:rPr>
              <w:t xml:space="preserve">Łączna wartość gruntów </w:t>
            </w:r>
            <w:r>
              <w:rPr>
                <w:rFonts w:ascii="Mangal" w:hAnsi="Mangal" w:cs="Helvetica"/>
                <w:color w:val="00000A"/>
                <w:sz w:val="14"/>
                <w:szCs w:val="14"/>
              </w:rPr>
              <w:t>użytkowanych wieczyście</w:t>
            </w:r>
            <w:r>
              <w:rPr>
                <w:rFonts w:ascii="Mangal" w:hAnsi="Mangal" w:cs="Helvetica"/>
                <w:color w:val="00000A"/>
                <w:sz w:val="19"/>
                <w:szCs w:val="14"/>
              </w:rPr>
              <w:t xml:space="preserve"> </w:t>
            </w:r>
            <w:r>
              <w:rPr>
                <w:rFonts w:ascii="Arial" w:hAnsi="Arial" w:cs="Helvetica"/>
                <w:color w:val="00000A"/>
                <w:sz w:val="14"/>
                <w:szCs w:val="14"/>
              </w:rPr>
              <w:t xml:space="preserve">ustalona na </w:t>
            </w:r>
            <w:r>
              <w:rPr>
                <w:rFonts w:ascii="Mangal" w:hAnsi="Mangal" w:cs="Helvetica"/>
                <w:color w:val="00000A"/>
                <w:sz w:val="14"/>
                <w:szCs w:val="14"/>
              </w:rPr>
              <w:t>podstawie szacunku</w:t>
            </w:r>
          </w:p>
          <w:p w:rsidR="00270C97" w:rsidRDefault="00270C97">
            <w:pPr>
              <w:pStyle w:val="Brakstyluakapitowego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14"/>
                <w:szCs w:val="14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Powierzchnia 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23"/>
        </w:trPr>
        <w:tc>
          <w:tcPr>
            <w:tcW w:w="375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751EF" w:rsidRDefault="00D751EF"/>
        </w:tc>
        <w:tc>
          <w:tcPr>
            <w:tcW w:w="13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Wartość (zł)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180" w:lineRule="atLeast"/>
        <w:rPr>
          <w:sz w:val="16"/>
          <w:szCs w:val="16"/>
        </w:rPr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p w:rsidR="00D32EDF" w:rsidRDefault="00D32EDF">
      <w:pPr>
        <w:rPr>
          <w:rFonts w:ascii="Arial" w:eastAsia="Times New Roman" w:hAnsi="Arial" w:cs="Arial"/>
          <w:b/>
          <w:bCs/>
          <w:color w:val="000000"/>
          <w:spacing w:val="2"/>
          <w:sz w:val="20"/>
          <w:szCs w:val="20"/>
          <w:lang w:bidi="ar-SA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270C97" w:rsidRDefault="00840A6B">
      <w:pPr>
        <w:pStyle w:val="Artbezakapi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1.5. Wartość nieamortyzowanych lub nieumarzanych przez jednostkę środków trwałych, używanych na podstawie umów najmu, dzierżawy i innych umów, w tym z tytułu umów leasingu</w:t>
      </w: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"/>
        <w:gridCol w:w="1724"/>
        <w:gridCol w:w="1725"/>
        <w:gridCol w:w="1725"/>
        <w:gridCol w:w="1725"/>
        <w:gridCol w:w="1743"/>
      </w:tblGrid>
      <w:tr w:rsidR="00270C97">
        <w:trPr>
          <w:trHeight w:val="60"/>
        </w:trPr>
        <w:tc>
          <w:tcPr>
            <w:tcW w:w="4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724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25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Stan na początek roku obrotowego</w:t>
            </w:r>
          </w:p>
        </w:tc>
        <w:tc>
          <w:tcPr>
            <w:tcW w:w="3450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Zmiany w trakcie roku obrotowego</w:t>
            </w:r>
          </w:p>
        </w:tc>
        <w:tc>
          <w:tcPr>
            <w:tcW w:w="1743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Stan na koniec</w:t>
            </w:r>
            <w:r>
              <w:rPr>
                <w:b/>
                <w:bCs/>
              </w:rPr>
              <w:br/>
              <w:t>roku obrotowego</w:t>
            </w:r>
            <w:r>
              <w:rPr>
                <w:b/>
                <w:bCs/>
              </w:rPr>
              <w:br/>
              <w:t>(3 + 4 – 5)</w:t>
            </w:r>
          </w:p>
        </w:tc>
      </w:tr>
      <w:tr w:rsidR="00270C97">
        <w:trPr>
          <w:trHeight w:val="60"/>
        </w:trPr>
        <w:tc>
          <w:tcPr>
            <w:tcW w:w="443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724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725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zwiększenia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zmniejszenia</w:t>
            </w:r>
          </w:p>
        </w:tc>
        <w:tc>
          <w:tcPr>
            <w:tcW w:w="1743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</w:tr>
      <w:tr w:rsidR="00270C97">
        <w:trPr>
          <w:trHeight w:val="60"/>
        </w:trPr>
        <w:tc>
          <w:tcPr>
            <w:tcW w:w="44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270C97">
        <w:trPr>
          <w:trHeight w:val="60"/>
        </w:trPr>
        <w:tc>
          <w:tcPr>
            <w:tcW w:w="44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Brakstyluakapitowego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14"/>
                <w:szCs w:val="14"/>
              </w:rPr>
            </w:pPr>
            <w:r>
              <w:rPr>
                <w:rFonts w:ascii="Helvetica" w:hAnsi="Helvetica" w:cs="Helvetica"/>
                <w:color w:val="00000A"/>
                <w:sz w:val="14"/>
                <w:szCs w:val="14"/>
              </w:rPr>
              <w:t>Grunty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4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Brakstyluakapitowego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14"/>
                <w:szCs w:val="14"/>
              </w:rPr>
            </w:pPr>
            <w:r>
              <w:rPr>
                <w:rFonts w:ascii="Helvetica" w:hAnsi="Helvetica" w:cs="Helvetica"/>
                <w:color w:val="00000A"/>
                <w:sz w:val="14"/>
                <w:szCs w:val="14"/>
              </w:rPr>
              <w:t>Budynki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Brakstyluakapitowego"/>
              <w:spacing w:line="100" w:lineRule="atLeast"/>
              <w:textAlignment w:va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Ogółem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160" w:lineRule="atLeast"/>
        <w:rPr>
          <w:sz w:val="14"/>
          <w:szCs w:val="14"/>
        </w:rPr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p w:rsidR="00270C97" w:rsidRDefault="00840A6B">
      <w:pPr>
        <w:pStyle w:val="Artbezakapi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1.6. Liczba oraz wartość posiadanych papierów wartościowych, w tym akcji i udziałów oraz dłużnych papierów wartościowych</w:t>
      </w:r>
    </w:p>
    <w:p w:rsidR="00270C97" w:rsidRDefault="00270C97">
      <w:pPr>
        <w:pStyle w:val="Art"/>
      </w:pP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"/>
        <w:gridCol w:w="3156"/>
        <w:gridCol w:w="1112"/>
        <w:gridCol w:w="1112"/>
        <w:gridCol w:w="1112"/>
        <w:gridCol w:w="1112"/>
        <w:gridCol w:w="1132"/>
      </w:tblGrid>
      <w:tr w:rsidR="00270C97">
        <w:trPr>
          <w:trHeight w:val="60"/>
        </w:trPr>
        <w:tc>
          <w:tcPr>
            <w:tcW w:w="34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15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11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Liczba</w:t>
            </w:r>
          </w:p>
        </w:tc>
        <w:tc>
          <w:tcPr>
            <w:tcW w:w="111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Stan na początek roku obrotowego</w:t>
            </w:r>
          </w:p>
        </w:tc>
        <w:tc>
          <w:tcPr>
            <w:tcW w:w="111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Zwiększenia</w:t>
            </w:r>
          </w:p>
        </w:tc>
        <w:tc>
          <w:tcPr>
            <w:tcW w:w="111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Zmniejszenia</w:t>
            </w:r>
          </w:p>
        </w:tc>
        <w:tc>
          <w:tcPr>
            <w:tcW w:w="113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 xml:space="preserve">Stan na </w:t>
            </w:r>
            <w:r>
              <w:rPr>
                <w:b/>
                <w:bCs/>
              </w:rPr>
              <w:br/>
              <w:t>koniec roku obrotowego</w:t>
            </w:r>
          </w:p>
        </w:tc>
      </w:tr>
      <w:tr w:rsidR="00270C97">
        <w:trPr>
          <w:trHeight w:val="60"/>
        </w:trPr>
        <w:tc>
          <w:tcPr>
            <w:tcW w:w="34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Akcje i udziały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0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4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Dłużne papiery wartościowe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0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4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3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Ogółem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Pr="0092607C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0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200" w:lineRule="atLeast"/>
        <w:rPr>
          <w:sz w:val="16"/>
          <w:szCs w:val="16"/>
        </w:rPr>
      </w:pPr>
    </w:p>
    <w:p w:rsidR="00270C97" w:rsidRDefault="00270C97">
      <w:pPr>
        <w:pStyle w:val="Artbezakapit"/>
        <w:rPr>
          <w:b/>
          <w:bCs/>
        </w:rPr>
      </w:pPr>
    </w:p>
    <w:p w:rsidR="00270C97" w:rsidRDefault="00840A6B">
      <w:pPr>
        <w:pStyle w:val="Artbezakapit"/>
        <w:spacing w:before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1.7. Dane o odpisach aktualizujących wartość należności, ze wskazaniem stanu na początek roku obrotowego, zwiększeniach, wykorzystaniu, rozwiązaniu i stanie na koniec roku obrotowego z uwzględnieniem należności finansowych jednostek samorządu terytorialnego (stan pożyczek zagrożonych)</w:t>
      </w:r>
    </w:p>
    <w:p w:rsidR="00270C97" w:rsidRDefault="00270C97">
      <w:pPr>
        <w:pStyle w:val="Art"/>
        <w:rPr>
          <w:rFonts w:ascii="Arial" w:hAnsi="Arial" w:cs="Arial"/>
          <w:sz w:val="20"/>
          <w:szCs w:val="20"/>
        </w:rPr>
      </w:pP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"/>
        <w:gridCol w:w="1441"/>
        <w:gridCol w:w="1442"/>
        <w:gridCol w:w="1442"/>
        <w:gridCol w:w="1443"/>
        <w:gridCol w:w="1444"/>
        <w:gridCol w:w="1459"/>
      </w:tblGrid>
      <w:tr w:rsidR="00270C97">
        <w:trPr>
          <w:trHeight w:val="60"/>
        </w:trPr>
        <w:tc>
          <w:tcPr>
            <w:tcW w:w="414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441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Grupa należności</w:t>
            </w:r>
          </w:p>
        </w:tc>
        <w:tc>
          <w:tcPr>
            <w:tcW w:w="144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  <w:r>
              <w:rPr>
                <w:b/>
                <w:bCs/>
              </w:rPr>
              <w:br/>
              <w:t>początek roku obrotowego</w:t>
            </w:r>
          </w:p>
        </w:tc>
        <w:tc>
          <w:tcPr>
            <w:tcW w:w="4329" w:type="dxa"/>
            <w:gridSpan w:val="3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Zmiany stanu odpisów w ciągu roku obrotowego</w:t>
            </w:r>
          </w:p>
        </w:tc>
        <w:tc>
          <w:tcPr>
            <w:tcW w:w="14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  <w:r>
              <w:rPr>
                <w:b/>
                <w:bCs/>
              </w:rPr>
              <w:br/>
              <w:t>koniec roku obrotowego</w:t>
            </w:r>
          </w:p>
        </w:tc>
      </w:tr>
      <w:tr w:rsidR="00270C97">
        <w:trPr>
          <w:trHeight w:val="60"/>
        </w:trPr>
        <w:tc>
          <w:tcPr>
            <w:tcW w:w="414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441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442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zwiększenia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wykorzystanie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Uznane za zbędne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270C97">
        <w:trPr>
          <w:trHeight w:val="60"/>
        </w:trPr>
        <w:tc>
          <w:tcPr>
            <w:tcW w:w="41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1.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  <w:r w:rsidRPr="0092607C">
              <w:rPr>
                <w:rFonts w:ascii="Helvetica" w:hAnsi="Helvetica" w:cs="Helvetica"/>
                <w:color w:val="00000A"/>
                <w:sz w:val="22"/>
              </w:rPr>
              <w:t>Nie dotyczy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2.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3.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4.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Tabelatekst"/>
              <w:snapToGrid w:val="0"/>
              <w:jc w:val="center"/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Brakstyluakapitowego"/>
              <w:spacing w:line="100" w:lineRule="atLeast"/>
              <w:textAlignment w:va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Ogółem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840A6B">
      <w:pPr>
        <w:pStyle w:val="Artbezakapi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1.8. Dane o stanie rezerw według celu ich utworzenia na początek roku obrotowego, zwiększeniach, wykorzystaniu, rozwiązaniu i stanie końcowym</w:t>
      </w:r>
    </w:p>
    <w:p w:rsidR="00270C97" w:rsidRDefault="00270C97">
      <w:pPr>
        <w:pStyle w:val="Art"/>
        <w:spacing w:before="120" w:after="6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1"/>
        <w:gridCol w:w="2197"/>
        <w:gridCol w:w="1328"/>
        <w:gridCol w:w="1251"/>
        <w:gridCol w:w="1384"/>
        <w:gridCol w:w="1378"/>
        <w:gridCol w:w="1156"/>
      </w:tblGrid>
      <w:tr w:rsidR="00270C97">
        <w:trPr>
          <w:trHeight w:val="60"/>
        </w:trPr>
        <w:tc>
          <w:tcPr>
            <w:tcW w:w="39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19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32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  <w:r>
              <w:rPr>
                <w:b/>
                <w:bCs/>
              </w:rPr>
              <w:br/>
              <w:t>początek roku obrotowego</w:t>
            </w:r>
          </w:p>
        </w:tc>
        <w:tc>
          <w:tcPr>
            <w:tcW w:w="12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Zwiększenie w ciągu roku</w:t>
            </w:r>
          </w:p>
        </w:tc>
        <w:tc>
          <w:tcPr>
            <w:tcW w:w="138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Wykorzystanie w ciągu roku*</w:t>
            </w:r>
          </w:p>
        </w:tc>
        <w:tc>
          <w:tcPr>
            <w:tcW w:w="137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Rozwiązanie w ciągu roku**</w:t>
            </w:r>
          </w:p>
        </w:tc>
        <w:tc>
          <w:tcPr>
            <w:tcW w:w="115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2F2F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  <w:r>
              <w:rPr>
                <w:b/>
                <w:bCs/>
              </w:rPr>
              <w:br/>
              <w:t>koniec roku</w:t>
            </w:r>
            <w:r>
              <w:rPr>
                <w:b/>
                <w:bCs/>
              </w:rPr>
              <w:br/>
              <w:t>obrotowego</w:t>
            </w:r>
          </w:p>
        </w:tc>
      </w:tr>
      <w:tr w:rsidR="00270C97">
        <w:trPr>
          <w:trHeight w:val="60"/>
        </w:trPr>
        <w:tc>
          <w:tcPr>
            <w:tcW w:w="3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270C97">
        <w:trPr>
          <w:trHeight w:val="60"/>
        </w:trPr>
        <w:tc>
          <w:tcPr>
            <w:tcW w:w="3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tekst"/>
              <w:jc w:val="center"/>
            </w:pPr>
            <w:r>
              <w:t>1.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tekst"/>
            </w:pPr>
            <w:r>
              <w:t>Rezerwy długoterminowe ogółem na pozostałe koszty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92607C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9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tekst"/>
              <w:jc w:val="center"/>
            </w:pPr>
            <w:r>
              <w:t>2.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tekst"/>
            </w:pPr>
            <w:r>
              <w:t>Rezerwy krótkoterminowe ogółem na pozostałe koszty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92607C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9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rPr>
                <w:b/>
              </w:rPr>
            </w:pPr>
            <w:r>
              <w:rPr>
                <w:b/>
              </w:rPr>
              <w:t>Ogółem rezerwy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ind w:firstLine="0"/>
        <w:rPr>
          <w:sz w:val="20"/>
          <w:szCs w:val="20"/>
        </w:rPr>
      </w:pPr>
    </w:p>
    <w:p w:rsidR="00270C97" w:rsidRDefault="00270C97">
      <w:pPr>
        <w:pStyle w:val="1"/>
        <w:ind w:left="227"/>
        <w:rPr>
          <w:sz w:val="16"/>
          <w:szCs w:val="16"/>
        </w:rPr>
      </w:pPr>
    </w:p>
    <w:p w:rsidR="00270C97" w:rsidRDefault="00270C97">
      <w:pPr>
        <w:pStyle w:val="Artbezakapit"/>
        <w:rPr>
          <w:b/>
          <w:bCs/>
        </w:rPr>
      </w:pPr>
    </w:p>
    <w:p w:rsidR="00270C97" w:rsidRDefault="00270C97">
      <w:pPr>
        <w:pStyle w:val="Artbezakapit"/>
        <w:rPr>
          <w:rFonts w:ascii="Arial" w:hAnsi="Arial" w:cs="Arial"/>
          <w:b/>
          <w:bCs/>
          <w:sz w:val="20"/>
          <w:szCs w:val="20"/>
        </w:rPr>
      </w:pPr>
    </w:p>
    <w:p w:rsidR="00270C97" w:rsidRDefault="00270C97">
      <w:pPr>
        <w:pStyle w:val="Artbezakapit"/>
        <w:rPr>
          <w:rFonts w:ascii="Arial" w:hAnsi="Arial" w:cs="Arial"/>
          <w:b/>
          <w:bCs/>
          <w:sz w:val="20"/>
          <w:szCs w:val="20"/>
        </w:rPr>
      </w:pPr>
    </w:p>
    <w:p w:rsidR="00270C97" w:rsidRDefault="00840A6B">
      <w:pPr>
        <w:pStyle w:val="Artbezakapi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1.9. Podział zobowiązań długoterminowych według pozycji bilansu o pozostałym od dnia bilansowego, przewidywanym umową, okresie spłaty:</w:t>
      </w:r>
    </w:p>
    <w:p w:rsidR="00270C97" w:rsidRDefault="00270C97">
      <w:pPr>
        <w:pStyle w:val="Art"/>
        <w:ind w:firstLine="0"/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"/>
        <w:gridCol w:w="3025"/>
        <w:gridCol w:w="955"/>
        <w:gridCol w:w="806"/>
        <w:gridCol w:w="804"/>
        <w:gridCol w:w="646"/>
        <w:gridCol w:w="642"/>
        <w:gridCol w:w="665"/>
        <w:gridCol w:w="562"/>
        <w:gridCol w:w="585"/>
      </w:tblGrid>
      <w:tr w:rsidR="00270C97">
        <w:trPr>
          <w:trHeight w:val="60"/>
        </w:trPr>
        <w:tc>
          <w:tcPr>
            <w:tcW w:w="395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025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Zobowiązania</w:t>
            </w:r>
          </w:p>
        </w:tc>
        <w:tc>
          <w:tcPr>
            <w:tcW w:w="4518" w:type="dxa"/>
            <w:gridSpan w:val="6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wymagalności</w:t>
            </w:r>
          </w:p>
        </w:tc>
        <w:tc>
          <w:tcPr>
            <w:tcW w:w="1147" w:type="dxa"/>
            <w:gridSpan w:val="2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Razem</w:t>
            </w:r>
          </w:p>
        </w:tc>
      </w:tr>
      <w:tr w:rsidR="00270C97">
        <w:trPr>
          <w:trHeight w:val="366"/>
        </w:trPr>
        <w:tc>
          <w:tcPr>
            <w:tcW w:w="395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3025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270C97">
            <w:pPr>
              <w:pStyle w:val="Tabelatekst"/>
              <w:snapToGrid w:val="0"/>
              <w:jc w:val="center"/>
            </w:pPr>
          </w:p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powyżej</w:t>
            </w:r>
            <w:r>
              <w:rPr>
                <w:b/>
                <w:bCs/>
              </w:rPr>
              <w:br/>
              <w:t>1 roku do 3 lat</w:t>
            </w: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powyżej</w:t>
            </w:r>
            <w:r>
              <w:rPr>
                <w:b/>
                <w:bCs/>
              </w:rPr>
              <w:br/>
              <w:t>3 lat do 5 lat</w:t>
            </w:r>
          </w:p>
        </w:tc>
        <w:tc>
          <w:tcPr>
            <w:tcW w:w="13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powyżej </w:t>
            </w:r>
            <w:r>
              <w:rPr>
                <w:b/>
                <w:bCs/>
              </w:rPr>
              <w:br/>
              <w:t>5 lat</w:t>
            </w:r>
          </w:p>
        </w:tc>
        <w:tc>
          <w:tcPr>
            <w:tcW w:w="1147" w:type="dxa"/>
            <w:gridSpan w:val="2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</w:tr>
      <w:tr w:rsidR="00270C97">
        <w:trPr>
          <w:trHeight w:val="60"/>
        </w:trPr>
        <w:tc>
          <w:tcPr>
            <w:tcW w:w="395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3025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45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</w:p>
        </w:tc>
        <w:tc>
          <w:tcPr>
            <w:tcW w:w="1147" w:type="dxa"/>
            <w:gridSpan w:val="2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</w:tr>
      <w:tr w:rsidR="00270C97">
        <w:trPr>
          <w:trHeight w:val="60"/>
        </w:trPr>
        <w:tc>
          <w:tcPr>
            <w:tcW w:w="395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3025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270C97">
            <w:pPr>
              <w:pStyle w:val="Tabelatekst"/>
              <w:snapToGrid w:val="0"/>
              <w:jc w:val="center"/>
              <w:rPr>
                <w:b/>
                <w:bCs/>
              </w:rPr>
            </w:pPr>
          </w:p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</w:t>
            </w:r>
          </w:p>
          <w:p w:rsidR="00270C97" w:rsidRDefault="00270C97">
            <w:pPr>
              <w:pStyle w:val="Tabelatekst"/>
              <w:jc w:val="center"/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BZ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BZ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BZ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BZ</w:t>
            </w:r>
          </w:p>
        </w:tc>
      </w:tr>
      <w:tr w:rsidR="00270C97">
        <w:trPr>
          <w:trHeight w:val="60"/>
        </w:trPr>
        <w:tc>
          <w:tcPr>
            <w:tcW w:w="39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Tabelatekst"/>
              <w:snapToGrid w:val="0"/>
              <w:jc w:val="center"/>
            </w:pP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840A6B">
            <w:pPr>
              <w:pStyle w:val="Tabelaa"/>
            </w:pPr>
            <w:r>
              <w:t>a)</w:t>
            </w:r>
            <w:r>
              <w:tab/>
              <w:t>kredyty i pożyczki</w:t>
            </w:r>
          </w:p>
          <w:p w:rsidR="00270C97" w:rsidRDefault="00840A6B">
            <w:pPr>
              <w:pStyle w:val="Tabelaa"/>
            </w:pPr>
            <w:r>
              <w:t>b)</w:t>
            </w:r>
            <w:r>
              <w:tab/>
              <w:t>z tytułu emisji dłużnych papierów wartościowych</w:t>
            </w:r>
          </w:p>
          <w:p w:rsidR="00270C97" w:rsidRDefault="00840A6B">
            <w:pPr>
              <w:pStyle w:val="Tabelaa"/>
            </w:pPr>
            <w:r>
              <w:t>c)</w:t>
            </w:r>
            <w:r>
              <w:tab/>
              <w:t>inne zobowiązania finansowe (wekslowe)</w:t>
            </w:r>
          </w:p>
          <w:p w:rsidR="00270C97" w:rsidRDefault="00840A6B">
            <w:pPr>
              <w:pStyle w:val="Tabelaa"/>
            </w:pPr>
            <w:r>
              <w:t>d)</w:t>
            </w:r>
            <w:r>
              <w:tab/>
              <w:t>zobowiązania wobec budżetów</w:t>
            </w:r>
          </w:p>
          <w:p w:rsidR="00270C97" w:rsidRDefault="00840A6B">
            <w:pPr>
              <w:pStyle w:val="Tabelaa"/>
            </w:pPr>
            <w:r>
              <w:t>e)</w:t>
            </w:r>
            <w:r>
              <w:tab/>
              <w:t>z tytułu ubezpieczeń i innych świadczeń</w:t>
            </w:r>
          </w:p>
          <w:p w:rsidR="00270C97" w:rsidRDefault="00840A6B">
            <w:pPr>
              <w:pStyle w:val="Tabelaa"/>
            </w:pPr>
            <w:r>
              <w:t>g)</w:t>
            </w:r>
            <w:r>
              <w:tab/>
              <w:t>z tytułu wynagrodzeń</w:t>
            </w:r>
          </w:p>
          <w:p w:rsidR="00270C97" w:rsidRDefault="00840A6B">
            <w:pPr>
              <w:pStyle w:val="Tabelaa"/>
            </w:pPr>
            <w:r>
              <w:t>h)</w:t>
            </w:r>
            <w:r>
              <w:tab/>
              <w:t>pozostałe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</w:rPr>
            </w:pPr>
            <w:r w:rsidRPr="0092607C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9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270C97">
            <w:pPr>
              <w:pStyle w:val="Tabelatekst"/>
              <w:snapToGrid w:val="0"/>
            </w:pPr>
          </w:p>
        </w:tc>
        <w:tc>
          <w:tcPr>
            <w:tcW w:w="30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</w:pPr>
            <w:r>
              <w:t>Ogółem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1.10. Kwota zobowiązań w sytuacji, gdy  jednostka kwalifikuje umowy leasingu zgodnie z przepisami podatkowymi (leasing operacyjny), a według przepisów o rachunkowości byłby to leasing finansowy lub zwrotny z podziałem na kwotę zobowiązań z tytułu leasingu finansowego lub leasingu zwrotnego</w:t>
      </w:r>
    </w:p>
    <w:p w:rsidR="00270C97" w:rsidRDefault="00270C97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</w:p>
    <w:p w:rsidR="00270C97" w:rsidRDefault="00270C97">
      <w:pPr>
        <w:pStyle w:val="Nazwatabeli"/>
        <w:spacing w:before="120" w:after="60"/>
        <w:rPr>
          <w:rFonts w:ascii="Arial" w:hAnsi="Arial" w:cs="Arial"/>
          <w:sz w:val="20"/>
          <w:szCs w:val="20"/>
        </w:rPr>
      </w:pPr>
    </w:p>
    <w:p w:rsidR="00270C97" w:rsidRDefault="00270C97">
      <w:pPr>
        <w:pStyle w:val="Nazwatabeli"/>
        <w:spacing w:before="120" w:after="60"/>
        <w:rPr>
          <w:rFonts w:ascii="Arial" w:hAnsi="Arial" w:cs="Arial"/>
          <w:sz w:val="20"/>
          <w:szCs w:val="20"/>
        </w:rPr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 zobowiązań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Zobowiązania z tytułu leasingu finansowego zgodnie z przepisami o rachunkowości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Zobowiązania z tytułu leasingu zwrotnego zgodnie z przepisami o rachunkowości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Ogółem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200" w:lineRule="atLeast"/>
        <w:rPr>
          <w:sz w:val="16"/>
          <w:szCs w:val="16"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1.11. Łączna kwota zobowiązań zabezpieczonych na majątku jednostki ze wskazaniem charakteru i formy tych zabezpieczeń</w:t>
      </w:r>
    </w:p>
    <w:p w:rsidR="00270C97" w:rsidRDefault="00270C97">
      <w:pPr>
        <w:pStyle w:val="Art"/>
      </w:pP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"/>
        <w:gridCol w:w="1473"/>
        <w:gridCol w:w="898"/>
        <w:gridCol w:w="899"/>
        <w:gridCol w:w="898"/>
        <w:gridCol w:w="901"/>
        <w:gridCol w:w="897"/>
        <w:gridCol w:w="902"/>
        <w:gridCol w:w="896"/>
        <w:gridCol w:w="922"/>
      </w:tblGrid>
      <w:tr w:rsidR="00270C97">
        <w:trPr>
          <w:trHeight w:val="60"/>
        </w:trPr>
        <w:tc>
          <w:tcPr>
            <w:tcW w:w="399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473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Rodzaj zabezpieczenia</w:t>
            </w:r>
          </w:p>
        </w:tc>
        <w:tc>
          <w:tcPr>
            <w:tcW w:w="1797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  <w:r>
              <w:rPr>
                <w:b/>
                <w:bCs/>
              </w:rPr>
              <w:br/>
              <w:t>zobowiązania</w:t>
            </w:r>
          </w:p>
        </w:tc>
        <w:tc>
          <w:tcPr>
            <w:tcW w:w="179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 zabezpieczenia</w:t>
            </w:r>
          </w:p>
        </w:tc>
        <w:tc>
          <w:tcPr>
            <w:tcW w:w="179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 aktywach trwałych</w:t>
            </w:r>
          </w:p>
        </w:tc>
        <w:tc>
          <w:tcPr>
            <w:tcW w:w="1818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 aktywach obrotowych</w:t>
            </w:r>
          </w:p>
        </w:tc>
      </w:tr>
      <w:tr w:rsidR="00270C97">
        <w:trPr>
          <w:trHeight w:val="60"/>
        </w:trPr>
        <w:tc>
          <w:tcPr>
            <w:tcW w:w="399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473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początek roku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koniec roku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początek roku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koniec roku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początek roku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koniec roku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początek roku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</w:t>
            </w:r>
            <w:r>
              <w:rPr>
                <w:b/>
                <w:bCs/>
              </w:rPr>
              <w:br/>
              <w:t>koniec roku</w:t>
            </w:r>
          </w:p>
        </w:tc>
      </w:tr>
      <w:tr w:rsidR="00270C97">
        <w:trPr>
          <w:trHeight w:val="60"/>
        </w:trPr>
        <w:tc>
          <w:tcPr>
            <w:tcW w:w="39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1.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</w:pPr>
            <w:r>
              <w:t>Weksle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493F66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18"/>
              </w:rPr>
            </w:pPr>
            <w:r w:rsidRPr="00493F66">
              <w:rPr>
                <w:rFonts w:ascii="Helvetica" w:hAnsi="Helvetica" w:cs="Helvetica"/>
                <w:color w:val="00000A"/>
                <w:sz w:val="18"/>
              </w:rPr>
              <w:t>Nie dotyczy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D32EDF">
        <w:trPr>
          <w:trHeight w:val="60"/>
        </w:trPr>
        <w:tc>
          <w:tcPr>
            <w:tcW w:w="39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2EDF" w:rsidRDefault="00D32EDF">
            <w:pPr>
              <w:pStyle w:val="Tabelatekst"/>
              <w:jc w:val="center"/>
            </w:pPr>
            <w:r>
              <w:t>2.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2EDF" w:rsidRDefault="00D32EDF">
            <w:pPr>
              <w:pStyle w:val="Tabelatekst"/>
            </w:pPr>
            <w:r>
              <w:t>Hipoteka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Pr="00493F66" w:rsidRDefault="00D32EDF">
            <w:pPr>
              <w:rPr>
                <w:sz w:val="18"/>
              </w:rPr>
            </w:pPr>
            <w:r w:rsidRPr="00493F66">
              <w:rPr>
                <w:rFonts w:ascii="Helvetica" w:hAnsi="Helvetica" w:cs="Helvetica"/>
                <w:color w:val="00000A"/>
                <w:sz w:val="18"/>
              </w:rPr>
              <w:t>Nie dotyczy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D32EDF">
        <w:trPr>
          <w:trHeight w:val="60"/>
        </w:trPr>
        <w:tc>
          <w:tcPr>
            <w:tcW w:w="39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Tabelatekst"/>
              <w:jc w:val="center"/>
            </w:pPr>
            <w:r>
              <w:t>3.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Tabelatekst"/>
            </w:pPr>
            <w:r>
              <w:t>Zastaw, w tym: zastaw skarbowy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Pr="00493F66" w:rsidRDefault="00D32EDF">
            <w:pPr>
              <w:rPr>
                <w:sz w:val="18"/>
              </w:rPr>
            </w:pPr>
            <w:r w:rsidRPr="00493F66">
              <w:rPr>
                <w:rFonts w:ascii="Helvetica" w:hAnsi="Helvetica" w:cs="Helvetica"/>
                <w:color w:val="00000A"/>
                <w:sz w:val="18"/>
              </w:rPr>
              <w:t>Nie dotyczy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D32EDF">
        <w:trPr>
          <w:trHeight w:val="60"/>
        </w:trPr>
        <w:tc>
          <w:tcPr>
            <w:tcW w:w="39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2EDF" w:rsidRDefault="00D32EDF">
            <w:pPr>
              <w:pStyle w:val="Tabelatekst"/>
              <w:jc w:val="center"/>
            </w:pPr>
            <w:r>
              <w:t>4.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2EDF" w:rsidRDefault="00D32EDF">
            <w:pPr>
              <w:pStyle w:val="Tabelatekst"/>
            </w:pPr>
            <w:r>
              <w:t>Inne (gwarancja bankowa, kara umowna)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Pr="00493F66" w:rsidRDefault="00D32EDF">
            <w:pPr>
              <w:rPr>
                <w:sz w:val="18"/>
              </w:rPr>
            </w:pPr>
            <w:r w:rsidRPr="00493F66">
              <w:rPr>
                <w:rFonts w:ascii="Helvetica" w:hAnsi="Helvetica" w:cs="Helvetica"/>
                <w:color w:val="00000A"/>
                <w:sz w:val="18"/>
              </w:rPr>
              <w:t>Nie dotyczy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D32EDF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39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rPr>
                <w:b/>
                <w:bCs/>
              </w:rPr>
            </w:pPr>
            <w:r>
              <w:rPr>
                <w:b/>
                <w:bCs/>
              </w:rPr>
              <w:t>Ogółem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</w:pPr>
    </w:p>
    <w:p w:rsidR="00270C97" w:rsidRDefault="00270C97">
      <w:pPr>
        <w:pStyle w:val="Art"/>
        <w:rPr>
          <w:b/>
          <w:bCs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1.12. Łączna kwota zobowiązań warunkowych, w tym również udzielonych przez jednostkę gwarancji i poręczeń, także wekslowych, niewykazanych w bilansie ze wskazaniem zobowiązań zabezpieczonych na majątku jednostki oraz charakteru i formy tych zabezpieczeń</w:t>
      </w: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"/>
        <w:gridCol w:w="3560"/>
        <w:gridCol w:w="2545"/>
        <w:gridCol w:w="2562"/>
      </w:tblGrid>
      <w:tr w:rsidR="00270C97">
        <w:trPr>
          <w:trHeight w:val="348"/>
        </w:trPr>
        <w:tc>
          <w:tcPr>
            <w:tcW w:w="418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560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Tytuł zobowiązania warunkowego</w:t>
            </w:r>
          </w:p>
        </w:tc>
        <w:tc>
          <w:tcPr>
            <w:tcW w:w="5107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</w:t>
            </w:r>
          </w:p>
        </w:tc>
      </w:tr>
      <w:tr w:rsidR="00270C97">
        <w:trPr>
          <w:trHeight w:val="60"/>
        </w:trPr>
        <w:tc>
          <w:tcPr>
            <w:tcW w:w="418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3560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 początek</w:t>
            </w:r>
            <w:r>
              <w:rPr>
                <w:b/>
                <w:bCs/>
              </w:rPr>
              <w:br/>
              <w:t>roku obrotowego</w:t>
            </w: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 koniec</w:t>
            </w:r>
            <w:r>
              <w:rPr>
                <w:b/>
                <w:bCs/>
              </w:rPr>
              <w:br/>
              <w:t>roku obrotowego</w:t>
            </w:r>
          </w:p>
        </w:tc>
      </w:tr>
      <w:tr w:rsidR="00270C97">
        <w:trPr>
          <w:trHeight w:val="60"/>
        </w:trPr>
        <w:tc>
          <w:tcPr>
            <w:tcW w:w="4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tekst"/>
              <w:jc w:val="center"/>
            </w:pPr>
            <w:r>
              <w:t>1.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840A6B">
            <w:pPr>
              <w:pStyle w:val="Tabelatekst"/>
            </w:pPr>
            <w:r>
              <w:t>Udzielone gwarancje i poręczenia, w tym:</w:t>
            </w:r>
            <w:r>
              <w:br/>
              <w:t>udzielone dla jednostek powiązanych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493F66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2.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</w:pPr>
            <w:r>
              <w:t>Kaucje i wadia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493F66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3.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</w:pPr>
            <w:r>
              <w:t>Zawarte, lecz jeszcze niewykonane umowy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493F66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4.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</w:pPr>
            <w:r>
              <w:t>Nieuznane roszczenia wierzycieli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493F66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</w:pPr>
            <w:r>
              <w:t>5.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</w:pPr>
            <w:r>
              <w:t>Inne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Pr="00493F66" w:rsidRDefault="00D32EDF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41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rPr>
                <w:b/>
                <w:bCs/>
              </w:rPr>
            </w:pPr>
            <w:r>
              <w:rPr>
                <w:b/>
                <w:bCs/>
              </w:rPr>
              <w:t>Ogółem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256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11"/>
        <w:ind w:left="340"/>
        <w:rPr>
          <w:b/>
          <w:bCs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270C97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1.13. Wykaz istotnych pozycji czynnych i biernych rozliczeń międzyokresowych, w tym kwotę czynnych rozliczeń międzyokresowych kosztów stanowiących różnicę między wartością otrzymanych finansowych składników aktywów a zobowiązaniem zapłaty za nie</w:t>
      </w:r>
    </w:p>
    <w:p w:rsidR="00270C97" w:rsidRDefault="00270C97">
      <w:pPr>
        <w:pStyle w:val="Art"/>
        <w:rPr>
          <w:rFonts w:ascii="Arial" w:hAnsi="Arial" w:cs="Arial"/>
          <w:sz w:val="20"/>
          <w:szCs w:val="20"/>
        </w:rPr>
      </w:pPr>
    </w:p>
    <w:p w:rsidR="00270C97" w:rsidRDefault="00270C97">
      <w:pPr>
        <w:pStyle w:val="Art"/>
        <w:rPr>
          <w:rFonts w:ascii="Arial" w:hAnsi="Arial" w:cs="Arial"/>
          <w:sz w:val="20"/>
          <w:szCs w:val="20"/>
        </w:rPr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tbl>
      <w:tblPr>
        <w:tblW w:w="9085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6036"/>
        <w:gridCol w:w="1310"/>
        <w:gridCol w:w="1328"/>
      </w:tblGrid>
      <w:tr w:rsidR="00270C97">
        <w:trPr>
          <w:trHeight w:val="60"/>
        </w:trPr>
        <w:tc>
          <w:tcPr>
            <w:tcW w:w="411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6036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Wyszczególnienie (tytuły)</w:t>
            </w:r>
          </w:p>
        </w:tc>
        <w:tc>
          <w:tcPr>
            <w:tcW w:w="2638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 na</w:t>
            </w:r>
          </w:p>
        </w:tc>
      </w:tr>
      <w:tr w:rsidR="00270C97">
        <w:trPr>
          <w:trHeight w:val="60"/>
        </w:trPr>
        <w:tc>
          <w:tcPr>
            <w:tcW w:w="411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6036" w:type="dxa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D751EF" w:rsidRDefault="00D751EF"/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początek</w:t>
            </w:r>
            <w:r>
              <w:rPr>
                <w:b/>
                <w:bCs/>
              </w:rPr>
              <w:br/>
              <w:t>roku obrotowego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Default="00840A6B">
            <w:pPr>
              <w:pStyle w:val="Tabelatek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koniec</w:t>
            </w:r>
            <w:r>
              <w:rPr>
                <w:b/>
                <w:bCs/>
              </w:rPr>
              <w:br/>
              <w:t>roku obrotowego</w:t>
            </w:r>
          </w:p>
        </w:tc>
      </w:tr>
      <w:tr w:rsidR="00270C97" w:rsidTr="00493F66">
        <w:trPr>
          <w:trHeight w:val="60"/>
        </w:trPr>
        <w:tc>
          <w:tcPr>
            <w:tcW w:w="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840A6B">
            <w:pPr>
              <w:pStyle w:val="Tabelatekst"/>
              <w:spacing w:before="57"/>
              <w:jc w:val="center"/>
            </w:pPr>
            <w:r>
              <w:t>1.</w:t>
            </w:r>
          </w:p>
        </w:tc>
        <w:tc>
          <w:tcPr>
            <w:tcW w:w="6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840A6B">
            <w:pPr>
              <w:pStyle w:val="Tabelatekst"/>
              <w:spacing w:before="57"/>
            </w:pPr>
            <w:r>
              <w:rPr>
                <w:spacing w:val="-1"/>
              </w:rPr>
              <w:t>Ogółem czynne rozliczenia międzyokresowe kosztów,  w tym:</w:t>
            </w:r>
            <w:r>
              <w:br/>
            </w:r>
            <w:r>
              <w:rPr>
                <w:spacing w:val="-1"/>
              </w:rPr>
              <w:t>(należy wyszczególnić ważniejsze tytuły figurujące w księgach rachunkowych, np.:</w:t>
            </w:r>
          </w:p>
          <w:p w:rsidR="00270C97" w:rsidRDefault="00840A6B">
            <w:pPr>
              <w:pStyle w:val="Tabelaa"/>
            </w:pPr>
            <w:r>
              <w:rPr>
                <w:rFonts w:eastAsia="Helvetica"/>
              </w:rPr>
              <w:t>–</w:t>
            </w:r>
            <w:r>
              <w:tab/>
              <w:t>opłacone z góry czynsze</w:t>
            </w:r>
          </w:p>
          <w:p w:rsidR="00270C97" w:rsidRDefault="00840A6B">
            <w:pPr>
              <w:pStyle w:val="Tabelaa"/>
            </w:pPr>
            <w:r>
              <w:rPr>
                <w:rFonts w:eastAsia="Helvetica"/>
              </w:rPr>
              <w:t>–</w:t>
            </w:r>
            <w:r>
              <w:tab/>
              <w:t>prenumeraty</w:t>
            </w:r>
          </w:p>
          <w:p w:rsidR="00270C97" w:rsidRDefault="00840A6B">
            <w:pPr>
              <w:pStyle w:val="Tabelaa"/>
            </w:pPr>
            <w:r>
              <w:rPr>
                <w:rFonts w:eastAsia="Helvetica"/>
              </w:rPr>
              <w:t>–</w:t>
            </w:r>
            <w:r>
              <w:tab/>
              <w:t>polisy ubezpieczenia osób i składników majątku)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Pr="00493F66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Pr="00493F66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</w:tr>
      <w:tr w:rsidR="00270C97" w:rsidTr="00493F66">
        <w:trPr>
          <w:trHeight w:val="510"/>
        </w:trPr>
        <w:tc>
          <w:tcPr>
            <w:tcW w:w="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840A6B">
            <w:pPr>
              <w:pStyle w:val="Tabelatekst"/>
              <w:spacing w:before="57"/>
              <w:jc w:val="center"/>
            </w:pPr>
            <w:r>
              <w:t>2.</w:t>
            </w:r>
          </w:p>
        </w:tc>
        <w:tc>
          <w:tcPr>
            <w:tcW w:w="6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840A6B">
            <w:pPr>
              <w:pStyle w:val="Tabelatekst"/>
              <w:spacing w:before="57"/>
            </w:pPr>
            <w:r>
              <w:t>Ogółem rozliczenia międzyokresowe przychodów (pasywa bilansu)</w:t>
            </w:r>
          </w:p>
          <w:p w:rsidR="00270C97" w:rsidRDefault="00270C97">
            <w:pPr>
              <w:pStyle w:val="Tabelaa"/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Pr="00493F66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Pr="00493F66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</w:tr>
      <w:tr w:rsidR="00270C97" w:rsidTr="00493F66">
        <w:trPr>
          <w:trHeight w:val="510"/>
        </w:trPr>
        <w:tc>
          <w:tcPr>
            <w:tcW w:w="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270C97">
            <w:pPr>
              <w:pStyle w:val="Tabelatekst"/>
              <w:snapToGrid w:val="0"/>
              <w:spacing w:before="57"/>
              <w:jc w:val="center"/>
            </w:pPr>
          </w:p>
        </w:tc>
        <w:tc>
          <w:tcPr>
            <w:tcW w:w="6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</w:tcPr>
          <w:p w:rsidR="00270C97" w:rsidRDefault="00840A6B">
            <w:pPr>
              <w:pStyle w:val="Tabelatekst"/>
              <w:spacing w:before="57"/>
            </w:pPr>
            <w:r>
              <w:t>Ogółem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Pr="00493F66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102" w:type="dxa"/>
              <w:left w:w="57" w:type="dxa"/>
              <w:bottom w:w="102" w:type="dxa"/>
              <w:right w:w="57" w:type="dxa"/>
            </w:tcMar>
            <w:vAlign w:val="center"/>
          </w:tcPr>
          <w:p w:rsidR="00270C97" w:rsidRPr="00493F66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</w:tr>
    </w:tbl>
    <w:p w:rsidR="00270C97" w:rsidRDefault="00270C97">
      <w:pPr>
        <w:pStyle w:val="Art"/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1.14. Łączna kwota otrzymanych przez jednostkę gwarancji i poręczeń niewykazanych w bilansie</w:t>
      </w:r>
    </w:p>
    <w:p w:rsidR="00270C97" w:rsidRDefault="00270C97">
      <w:pPr>
        <w:pStyle w:val="Nazwatabeli"/>
        <w:spacing w:before="120" w:after="60"/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Otrzymane gwarancje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Otrzymane poręczenia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3.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  <w:rPr>
                <w:b/>
              </w:rPr>
            </w:pPr>
            <w:r>
              <w:rPr>
                <w:b/>
              </w:rPr>
              <w:t>Ogółem: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493F66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  <w:spacing w:line="200" w:lineRule="atLeast"/>
        <w:rPr>
          <w:sz w:val="16"/>
          <w:szCs w:val="16"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270C97">
      <w:pPr>
        <w:pStyle w:val="11"/>
        <w:ind w:left="340"/>
        <w:rPr>
          <w:b/>
          <w:bCs/>
        </w:rPr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1.15. Kwota wypłaconych środków pieniężnych na świadczenia pracownicze</w:t>
      </w:r>
    </w:p>
    <w:p w:rsidR="00270C97" w:rsidRDefault="00270C97">
      <w:pPr>
        <w:pStyle w:val="11"/>
        <w:ind w:left="340"/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Odprawy emerytalne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F6386A" w:rsidP="00F6386A">
            <w:pPr>
              <w:pStyle w:val="Brakstyluakapitowego"/>
              <w:snapToGrid w:val="0"/>
              <w:spacing w:line="100" w:lineRule="atLeast"/>
              <w:jc w:val="right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t>37.149,27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Pr="00493F66" w:rsidRDefault="00F6386A" w:rsidP="00FA7E7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t xml:space="preserve">Odprawy emerytalne dla </w:t>
            </w: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br/>
              <w:t>3 osób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Nagrody jubileuszowe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F6386A" w:rsidP="00F6386A">
            <w:pPr>
              <w:pStyle w:val="Brakstyluakapitowego"/>
              <w:snapToGrid w:val="0"/>
              <w:spacing w:line="100" w:lineRule="atLeast"/>
              <w:jc w:val="right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t>46.323,57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Pr="00493F66" w:rsidRDefault="00F6386A" w:rsidP="00FA7E7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t xml:space="preserve">Nagrody jubileuszowe dla </w:t>
            </w: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br/>
              <w:t>7 osób</w:t>
            </w:r>
          </w:p>
        </w:tc>
      </w:tr>
      <w:tr w:rsidR="00270C97" w:rsidTr="00F6386A">
        <w:trPr>
          <w:trHeight w:val="328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3.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Inne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F6386A" w:rsidP="00F6386A">
            <w:pPr>
              <w:pStyle w:val="Brakstyluakapitowego"/>
              <w:snapToGrid w:val="0"/>
              <w:spacing w:line="100" w:lineRule="atLeast"/>
              <w:jc w:val="right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  <w:szCs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Pr="00493F66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</w:p>
        </w:tc>
      </w:tr>
      <w:tr w:rsidR="00270C97" w:rsidTr="00F6386A">
        <w:trPr>
          <w:trHeight w:val="459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4.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  <w:rPr>
                <w:b/>
              </w:rPr>
            </w:pPr>
            <w:r>
              <w:rPr>
                <w:b/>
              </w:rPr>
              <w:t>Ogółem: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F6386A" w:rsidP="00F6386A">
            <w:pPr>
              <w:pStyle w:val="Brakstyluakapitowego"/>
              <w:snapToGrid w:val="0"/>
              <w:spacing w:line="100" w:lineRule="atLeast"/>
              <w:jc w:val="right"/>
              <w:textAlignment w:val="auto"/>
              <w:rPr>
                <w:rFonts w:ascii="Helvetica" w:hAnsi="Helvetica" w:cs="Helvetica"/>
                <w:b/>
                <w:color w:val="00000A"/>
                <w:sz w:val="20"/>
                <w:szCs w:val="20"/>
              </w:rPr>
            </w:pPr>
            <w:r w:rsidRPr="00493F66">
              <w:rPr>
                <w:rFonts w:ascii="Helvetica" w:hAnsi="Helvetica" w:cs="Helvetica"/>
                <w:b/>
                <w:color w:val="00000A"/>
                <w:sz w:val="20"/>
                <w:szCs w:val="20"/>
              </w:rPr>
              <w:t>83.472,84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Pr="00493F66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  <w:sz w:val="20"/>
                <w:szCs w:val="20"/>
              </w:rPr>
            </w:pPr>
          </w:p>
        </w:tc>
      </w:tr>
    </w:tbl>
    <w:p w:rsidR="00270C97" w:rsidRDefault="00270C97">
      <w:pPr>
        <w:pStyle w:val="Art"/>
        <w:spacing w:line="200" w:lineRule="atLeast"/>
        <w:rPr>
          <w:sz w:val="16"/>
          <w:szCs w:val="16"/>
        </w:rPr>
      </w:pPr>
    </w:p>
    <w:p w:rsidR="00270C97" w:rsidRDefault="00840A6B">
      <w:pPr>
        <w:pStyle w:val="11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1.16. Inne informacje</w:t>
      </w:r>
    </w:p>
    <w:p w:rsidR="00270C97" w:rsidRDefault="00270C97">
      <w:pPr>
        <w:pStyle w:val="Art"/>
      </w:pPr>
    </w:p>
    <w:p w:rsidR="00270C97" w:rsidRDefault="00270C97">
      <w:pPr>
        <w:pStyle w:val="Art"/>
      </w:pPr>
    </w:p>
    <w:p w:rsidR="00270C97" w:rsidRDefault="00270C97">
      <w:pPr>
        <w:pStyle w:val="Art"/>
      </w:pPr>
    </w:p>
    <w:p w:rsidR="00270C97" w:rsidRDefault="00840A6B">
      <w:pPr>
        <w:pStyle w:val="1"/>
        <w:ind w:left="0"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</w:t>
      </w:r>
    </w:p>
    <w:p w:rsidR="00270C97" w:rsidRDefault="00270C97">
      <w:pPr>
        <w:pStyle w:val="1"/>
        <w:ind w:left="0" w:firstLine="0"/>
        <w:rPr>
          <w:rFonts w:ascii="Arial" w:hAnsi="Arial" w:cs="Arial"/>
          <w:b/>
          <w:bCs/>
          <w:sz w:val="20"/>
          <w:szCs w:val="20"/>
        </w:rPr>
      </w:pPr>
    </w:p>
    <w:p w:rsidR="00270C97" w:rsidRDefault="00840A6B">
      <w:pPr>
        <w:pStyle w:val="1"/>
        <w:ind w:left="0"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2.1. Wysokość odpisów aktualizujących wartość zapasów</w:t>
      </w:r>
    </w:p>
    <w:p w:rsidR="00270C97" w:rsidRDefault="00270C97">
      <w:pPr>
        <w:pStyle w:val="Art"/>
        <w:rPr>
          <w:rFonts w:ascii="Arial" w:hAnsi="Arial" w:cs="Arial"/>
          <w:sz w:val="20"/>
          <w:szCs w:val="20"/>
        </w:rPr>
      </w:pPr>
    </w:p>
    <w:p w:rsidR="00270C97" w:rsidRDefault="00270C97">
      <w:pPr>
        <w:pStyle w:val="Art"/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Materiały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F6386A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Towary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F6386A" w:rsidP="00493F66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Ogółem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</w:pPr>
    </w:p>
    <w:p w:rsidR="00270C97" w:rsidRDefault="00270C97">
      <w:pPr>
        <w:pStyle w:val="Artbezakapit"/>
        <w:rPr>
          <w:rFonts w:ascii="Arial" w:hAnsi="Arial" w:cs="Arial"/>
          <w:b/>
          <w:bCs/>
          <w:sz w:val="20"/>
          <w:szCs w:val="20"/>
        </w:rPr>
      </w:pPr>
    </w:p>
    <w:p w:rsidR="00270C97" w:rsidRDefault="00840A6B">
      <w:pPr>
        <w:pStyle w:val="Artbezakapi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2.2. Koszt wytworzenia środków trwałych w budowie; w tym odsetki oraz różnice kursowe,  które powiększyły koszt wytworzenia środków trwałych w budowie w roku obrotowym</w:t>
      </w:r>
    </w:p>
    <w:p w:rsidR="00270C97" w:rsidRDefault="00270C97">
      <w:pPr>
        <w:pStyle w:val="Art"/>
        <w:rPr>
          <w:rFonts w:ascii="Arial" w:hAnsi="Arial" w:cs="Arial"/>
          <w:sz w:val="20"/>
          <w:szCs w:val="20"/>
        </w:rPr>
      </w:pPr>
    </w:p>
    <w:p w:rsidR="00270C97" w:rsidRDefault="00270C97">
      <w:pPr>
        <w:pStyle w:val="Art"/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 w:rsidTr="00F6386A">
        <w:trPr>
          <w:trHeight w:val="805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Koszt wytworzenia środków trwałych w budowie, w tym:</w:t>
            </w:r>
          </w:p>
          <w:p w:rsidR="00270C97" w:rsidRDefault="00840A6B">
            <w:pPr>
              <w:pStyle w:val="Tabelarodek"/>
              <w:jc w:val="left"/>
            </w:pPr>
            <w:r>
              <w:t>- odsetki, które powiększyły ten koszt w roku obrotowym</w:t>
            </w:r>
          </w:p>
          <w:p w:rsidR="00270C97" w:rsidRDefault="00840A6B">
            <w:pPr>
              <w:pStyle w:val="Tabelarodek"/>
              <w:jc w:val="left"/>
            </w:pPr>
            <w:r>
              <w:t>- różnice kursowe, które powiększyły ten koszt w roku obrotowym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Nie dotyczy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"/>
      </w:pPr>
    </w:p>
    <w:p w:rsidR="00270C97" w:rsidRDefault="00270C97">
      <w:pPr>
        <w:pStyle w:val="Artbezakapit"/>
        <w:rPr>
          <w:rFonts w:ascii="Arial" w:hAnsi="Arial" w:cs="Arial"/>
          <w:b/>
          <w:bCs/>
          <w:spacing w:val="-3"/>
          <w:sz w:val="20"/>
          <w:szCs w:val="20"/>
        </w:rPr>
      </w:pPr>
    </w:p>
    <w:p w:rsidR="00270C97" w:rsidRDefault="00840A6B">
      <w:pPr>
        <w:pStyle w:val="Artbezakapit"/>
        <w:rPr>
          <w:rFonts w:ascii="Arial" w:hAnsi="Arial" w:cs="Arial"/>
          <w:b/>
          <w:bCs/>
          <w:spacing w:val="-3"/>
          <w:sz w:val="20"/>
          <w:szCs w:val="20"/>
        </w:rPr>
      </w:pPr>
      <w:r>
        <w:rPr>
          <w:rFonts w:ascii="Arial" w:hAnsi="Arial" w:cs="Arial"/>
          <w:b/>
          <w:bCs/>
          <w:spacing w:val="-3"/>
          <w:sz w:val="20"/>
          <w:szCs w:val="20"/>
        </w:rPr>
        <w:t>2.3. Kwota i charakter poszczególnych pozycji przychodów lub kosztów o nadzwyczajnej wartości lub które wystąpiły incydentalnie</w:t>
      </w:r>
    </w:p>
    <w:p w:rsidR="00270C97" w:rsidRDefault="00270C97">
      <w:pPr>
        <w:pStyle w:val="Artbezakapit"/>
      </w:pPr>
    </w:p>
    <w:tbl>
      <w:tblPr>
        <w:tblW w:w="908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4996"/>
        <w:gridCol w:w="1759"/>
        <w:gridCol w:w="1777"/>
      </w:tblGrid>
      <w:tr w:rsidR="00270C97">
        <w:trPr>
          <w:trHeight w:val="60"/>
        </w:trPr>
        <w:tc>
          <w:tcPr>
            <w:tcW w:w="5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99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Wyszczególnienie</w:t>
            </w:r>
          </w:p>
        </w:tc>
        <w:tc>
          <w:tcPr>
            <w:tcW w:w="17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7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840A6B">
            <w:pPr>
              <w:pStyle w:val="Tabelarodek"/>
              <w:rPr>
                <w:b/>
                <w:bCs/>
              </w:rPr>
            </w:pPr>
            <w:r>
              <w:rPr>
                <w:b/>
                <w:bCs/>
              </w:rPr>
              <w:t>Dodatkowe informacje</w:t>
            </w: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Przychody:</w:t>
            </w:r>
          </w:p>
          <w:p w:rsidR="00270C97" w:rsidRDefault="00840A6B">
            <w:pPr>
              <w:pStyle w:val="Tabelarodek"/>
              <w:jc w:val="left"/>
            </w:pPr>
            <w:r>
              <w:t>- o nadzwyczajnej wartości,</w:t>
            </w:r>
          </w:p>
          <w:p w:rsidR="00270C97" w:rsidRDefault="00840A6B">
            <w:pPr>
              <w:pStyle w:val="Tabelarodek"/>
              <w:jc w:val="left"/>
            </w:pPr>
            <w:r>
              <w:t>-które wystąpiły incydentalnie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</w:pPr>
            <w:r>
              <w:t>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Koszty:</w:t>
            </w:r>
          </w:p>
          <w:p w:rsidR="00270C97" w:rsidRDefault="00840A6B">
            <w:pPr>
              <w:pStyle w:val="Tabelarodek"/>
              <w:jc w:val="left"/>
            </w:pPr>
            <w:r>
              <w:t>- o nadzwyczajnej wartości,</w:t>
            </w:r>
          </w:p>
          <w:p w:rsidR="00270C97" w:rsidRDefault="00840A6B">
            <w:pPr>
              <w:pStyle w:val="Tabelarodek"/>
              <w:jc w:val="left"/>
            </w:pPr>
            <w:r>
              <w:t>-które wystąpiły incydentalnie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Pr="00493F66" w:rsidRDefault="00D32EDF" w:rsidP="00D32EDF">
            <w:pPr>
              <w:pStyle w:val="Brakstyluakapitowego"/>
              <w:snapToGrid w:val="0"/>
              <w:spacing w:line="100" w:lineRule="atLeast"/>
              <w:jc w:val="center"/>
              <w:textAlignment w:val="auto"/>
              <w:rPr>
                <w:rFonts w:ascii="Helvetica" w:hAnsi="Helvetica" w:cs="Helvetica"/>
                <w:color w:val="00000A"/>
                <w:sz w:val="20"/>
              </w:rPr>
            </w:pPr>
            <w:r w:rsidRPr="00493F66">
              <w:rPr>
                <w:rFonts w:ascii="Helvetica" w:hAnsi="Helvetica" w:cs="Helvetica"/>
                <w:color w:val="00000A"/>
                <w:sz w:val="20"/>
              </w:rPr>
              <w:t>0,00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  <w:tr w:rsidR="00270C97">
        <w:trPr>
          <w:trHeight w:val="60"/>
        </w:trPr>
        <w:tc>
          <w:tcPr>
            <w:tcW w:w="5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Tabelarodek"/>
              <w:snapToGrid w:val="0"/>
            </w:pP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840A6B">
            <w:pPr>
              <w:pStyle w:val="Tabelarodek"/>
              <w:jc w:val="left"/>
            </w:pPr>
            <w:r>
              <w:t>Ogółem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0C97" w:rsidRDefault="00270C97">
            <w:pPr>
              <w:pStyle w:val="Brakstyluakapitowego"/>
              <w:snapToGrid w:val="0"/>
              <w:spacing w:line="100" w:lineRule="atLeast"/>
              <w:textAlignment w:val="auto"/>
              <w:rPr>
                <w:rFonts w:ascii="Helvetica" w:hAnsi="Helvetica" w:cs="Helvetica"/>
                <w:color w:val="00000A"/>
              </w:rPr>
            </w:pPr>
          </w:p>
        </w:tc>
      </w:tr>
    </w:tbl>
    <w:p w:rsidR="00270C97" w:rsidRDefault="00270C97">
      <w:pPr>
        <w:pStyle w:val="Artbezakapit"/>
        <w:rPr>
          <w:b/>
          <w:bCs/>
        </w:rPr>
      </w:pPr>
    </w:p>
    <w:p w:rsidR="00270C97" w:rsidRDefault="00840A6B">
      <w:pPr>
        <w:pStyle w:val="11"/>
        <w:spacing w:before="120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2.4. Informacja o kwocie należności z tytułu podatków realizowanych przez organy podatkowe podległe ministrowi właściwemu do spraw finansów publicznych wykazanych w sprawozdaniu z wykonaniu planu dochodów budżetowych</w:t>
      </w:r>
    </w:p>
    <w:p w:rsidR="00493F66" w:rsidRPr="00493F66" w:rsidRDefault="00493F66" w:rsidP="00493F66">
      <w:pPr>
        <w:pStyle w:val="11"/>
        <w:spacing w:before="120"/>
        <w:ind w:left="709" w:firstLine="0"/>
        <w:rPr>
          <w:rFonts w:ascii="Arial" w:hAnsi="Arial" w:cs="Arial"/>
          <w:bCs/>
          <w:sz w:val="20"/>
          <w:szCs w:val="20"/>
        </w:rPr>
      </w:pPr>
      <w:r w:rsidRPr="00493F66">
        <w:rPr>
          <w:rFonts w:ascii="Arial" w:hAnsi="Arial" w:cs="Arial"/>
          <w:bCs/>
          <w:sz w:val="20"/>
          <w:szCs w:val="20"/>
        </w:rPr>
        <w:t>Nie dotyczy</w:t>
      </w:r>
    </w:p>
    <w:p w:rsidR="00270C97" w:rsidRDefault="00840A6B">
      <w:pPr>
        <w:pStyle w:val="11"/>
        <w:spacing w:before="120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2.5. Inne informacje</w:t>
      </w:r>
    </w:p>
    <w:p w:rsidR="00493F66" w:rsidRPr="00493F66" w:rsidRDefault="00493F66" w:rsidP="00493F66">
      <w:pPr>
        <w:pStyle w:val="11"/>
        <w:spacing w:before="120"/>
        <w:ind w:left="709" w:firstLine="0"/>
        <w:rPr>
          <w:rFonts w:ascii="Arial" w:hAnsi="Arial" w:cs="Arial"/>
          <w:bCs/>
          <w:sz w:val="20"/>
          <w:szCs w:val="20"/>
        </w:rPr>
      </w:pPr>
      <w:r w:rsidRPr="00493F66">
        <w:rPr>
          <w:rFonts w:ascii="Arial" w:hAnsi="Arial" w:cs="Arial"/>
          <w:bCs/>
          <w:sz w:val="20"/>
          <w:szCs w:val="20"/>
        </w:rPr>
        <w:t>Brak</w:t>
      </w:r>
    </w:p>
    <w:p w:rsidR="00270C97" w:rsidRDefault="00840A6B">
      <w:pPr>
        <w:pStyle w:val="11"/>
        <w:spacing w:before="120"/>
        <w:ind w:left="34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 Inne informacje niż wymienione powyżej, jeżeli mogłyby w istotny sposób wpłynąć na ocenę sytuacji majątkowej i finansowej oraz wynik finansowy jednostki</w:t>
      </w:r>
    </w:p>
    <w:p w:rsidR="00493F66" w:rsidRPr="00493F66" w:rsidRDefault="00493F66" w:rsidP="00493F66">
      <w:pPr>
        <w:pStyle w:val="11"/>
        <w:spacing w:before="120"/>
        <w:ind w:left="709" w:firstLine="0"/>
        <w:rPr>
          <w:rFonts w:ascii="Arial" w:hAnsi="Arial" w:cs="Arial"/>
          <w:bCs/>
          <w:sz w:val="20"/>
          <w:szCs w:val="20"/>
        </w:rPr>
      </w:pPr>
      <w:r w:rsidRPr="00493F66">
        <w:rPr>
          <w:rFonts w:ascii="Arial" w:hAnsi="Arial" w:cs="Arial"/>
          <w:bCs/>
          <w:sz w:val="20"/>
          <w:szCs w:val="20"/>
        </w:rPr>
        <w:t>Brak</w:t>
      </w:r>
    </w:p>
    <w:p w:rsidR="00270C97" w:rsidRDefault="00270C97">
      <w:pPr>
        <w:pStyle w:val="11"/>
        <w:spacing w:before="120"/>
        <w:ind w:left="340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:rsidR="00270C97" w:rsidRDefault="00270C97">
      <w:pPr>
        <w:pStyle w:val="1"/>
      </w:pPr>
    </w:p>
    <w:p w:rsidR="00270C97" w:rsidRDefault="00270C97">
      <w:pPr>
        <w:pStyle w:val="Artbezakapit"/>
      </w:pPr>
    </w:p>
    <w:p w:rsidR="00270C97" w:rsidRDefault="00270C97">
      <w:pPr>
        <w:pStyle w:val="Standard"/>
      </w:pPr>
    </w:p>
    <w:sectPr w:rsidR="00270C97" w:rsidSect="00A22028">
      <w:pgSz w:w="11906" w:h="16838"/>
      <w:pgMar w:top="1033" w:right="1418" w:bottom="1033" w:left="1418" w:header="708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34B" w:rsidRDefault="00F8534B">
      <w:r>
        <w:separator/>
      </w:r>
    </w:p>
  </w:endnote>
  <w:endnote w:type="continuationSeparator" w:id="0">
    <w:p w:rsidR="00F8534B" w:rsidRDefault="00F85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98A" w:rsidRDefault="00840A6B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6D4754">
      <w:rPr>
        <w:noProof/>
      </w:rPr>
      <w:t>3</w:t>
    </w:r>
    <w:r>
      <w:fldChar w:fldCharType="end"/>
    </w:r>
  </w:p>
  <w:p w:rsidR="002C198A" w:rsidRDefault="00F853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34B" w:rsidRDefault="00F8534B">
      <w:r>
        <w:rPr>
          <w:color w:val="000000"/>
        </w:rPr>
        <w:separator/>
      </w:r>
    </w:p>
  </w:footnote>
  <w:footnote w:type="continuationSeparator" w:id="0">
    <w:p w:rsidR="00F8534B" w:rsidRDefault="00F85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3715E"/>
    <w:multiLevelType w:val="singleLevel"/>
    <w:tmpl w:val="EC9CA03E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38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70C97"/>
    <w:rsid w:val="000073F1"/>
    <w:rsid w:val="0020692B"/>
    <w:rsid w:val="00270C97"/>
    <w:rsid w:val="0030419C"/>
    <w:rsid w:val="00493F66"/>
    <w:rsid w:val="00667133"/>
    <w:rsid w:val="006D4754"/>
    <w:rsid w:val="007472E9"/>
    <w:rsid w:val="007E4837"/>
    <w:rsid w:val="00824762"/>
    <w:rsid w:val="00840A6B"/>
    <w:rsid w:val="0092607C"/>
    <w:rsid w:val="00A22028"/>
    <w:rsid w:val="00D32EDF"/>
    <w:rsid w:val="00D751EF"/>
    <w:rsid w:val="00E338BF"/>
    <w:rsid w:val="00F6386A"/>
    <w:rsid w:val="00F8534B"/>
    <w:rsid w:val="00FA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">
    <w:name w:val="Nagłówek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Brakstyluakapitowego">
    <w:name w:val="[Brak stylu akapitowego]"/>
    <w:pPr>
      <w:widowControl/>
      <w:spacing w:line="288" w:lineRule="auto"/>
      <w:textAlignment w:val="center"/>
    </w:pPr>
    <w:rPr>
      <w:rFonts w:eastAsia="Times New Roman" w:cs="Times New Roman"/>
      <w:color w:val="000000"/>
      <w:lang w:bidi="ar-SA"/>
    </w:rPr>
  </w:style>
  <w:style w:type="paragraph" w:customStyle="1" w:styleId="Dz1">
    <w:name w:val="Dz_1"/>
    <w:basedOn w:val="Brakstyluakapitowego"/>
    <w:pPr>
      <w:tabs>
        <w:tab w:val="left" w:pos="397"/>
        <w:tab w:val="left" w:pos="454"/>
        <w:tab w:val="left" w:pos="601"/>
        <w:tab w:val="left" w:pos="720"/>
        <w:tab w:val="left" w:pos="1440"/>
        <w:tab w:val="left" w:pos="2154"/>
        <w:tab w:val="left" w:pos="2880"/>
      </w:tabs>
      <w:spacing w:before="62" w:after="79" w:line="320" w:lineRule="atLeast"/>
    </w:pPr>
    <w:rPr>
      <w:rFonts w:ascii="Helvetica" w:hAnsi="Helvetica" w:cs="Helvetica"/>
      <w:b/>
      <w:bCs/>
      <w:spacing w:val="3"/>
      <w:sz w:val="27"/>
      <w:szCs w:val="27"/>
    </w:rPr>
  </w:style>
  <w:style w:type="paragraph" w:customStyle="1" w:styleId="Art">
    <w:name w:val="Art."/>
    <w:basedOn w:val="Brakstyluakapitowego"/>
    <w:pPr>
      <w:spacing w:line="240" w:lineRule="atLeast"/>
      <w:ind w:firstLine="238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1">
    <w:name w:val="1)..."/>
    <w:basedOn w:val="Brakstyluakapitowego"/>
    <w:pPr>
      <w:tabs>
        <w:tab w:val="right" w:leader="dot" w:pos="567"/>
        <w:tab w:val="left" w:pos="1134"/>
        <w:tab w:val="right" w:pos="8561"/>
      </w:tabs>
      <w:spacing w:line="240" w:lineRule="atLeast"/>
      <w:ind w:left="567" w:hanging="227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a">
    <w:name w:val="a)..."/>
    <w:basedOn w:val="Brakstyluakapitowego"/>
    <w:pPr>
      <w:tabs>
        <w:tab w:val="right" w:pos="8788"/>
        <w:tab w:val="left" w:pos="10794"/>
      </w:tabs>
      <w:spacing w:line="240" w:lineRule="atLeast"/>
      <w:ind w:left="794" w:hanging="227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Luka">
    <w:name w:val="Luka"/>
    <w:basedOn w:val="Brakstyluakapitowego"/>
    <w:pPr>
      <w:tabs>
        <w:tab w:val="left" w:pos="2268"/>
        <w:tab w:val="left" w:pos="2494"/>
        <w:tab w:val="left" w:pos="3288"/>
        <w:tab w:val="right" w:pos="8164"/>
      </w:tabs>
      <w:spacing w:before="11" w:after="20" w:line="60" w:lineRule="atLeast"/>
      <w:ind w:left="170"/>
      <w:jc w:val="both"/>
    </w:pPr>
    <w:rPr>
      <w:rFonts w:ascii="Helvetica" w:hAnsi="Helvetica" w:cs="Helvetica"/>
      <w:sz w:val="6"/>
      <w:szCs w:val="6"/>
    </w:rPr>
  </w:style>
  <w:style w:type="paragraph" w:customStyle="1" w:styleId="Artbezakapit">
    <w:name w:val="Art. bez akapit"/>
    <w:basedOn w:val="Standard"/>
    <w:pPr>
      <w:spacing w:after="0" w:line="230" w:lineRule="atLeast"/>
      <w:jc w:val="both"/>
      <w:textAlignment w:val="center"/>
    </w:pPr>
    <w:rPr>
      <w:rFonts w:ascii="Helvetica" w:hAnsi="Helvetica" w:cs="Helvetica"/>
      <w:color w:val="000000"/>
      <w:spacing w:val="2"/>
      <w:sz w:val="19"/>
      <w:szCs w:val="19"/>
    </w:rPr>
  </w:style>
  <w:style w:type="paragraph" w:customStyle="1" w:styleId="Dz11">
    <w:name w:val="Dz_1.1."/>
    <w:basedOn w:val="Brakstyluakapitowego"/>
    <w:pPr>
      <w:tabs>
        <w:tab w:val="left" w:pos="340"/>
        <w:tab w:val="left" w:pos="454"/>
        <w:tab w:val="left" w:pos="540"/>
        <w:tab w:val="left" w:pos="1440"/>
        <w:tab w:val="left" w:pos="2154"/>
        <w:tab w:val="left" w:pos="2880"/>
      </w:tabs>
      <w:spacing w:before="130" w:after="57" w:line="260" w:lineRule="atLeast"/>
    </w:pPr>
    <w:rPr>
      <w:rFonts w:ascii="Helvetica" w:hAnsi="Helvetica" w:cs="Helvetica"/>
      <w:b/>
      <w:bCs/>
      <w:spacing w:val="2"/>
      <w:sz w:val="22"/>
      <w:szCs w:val="22"/>
    </w:rPr>
  </w:style>
  <w:style w:type="paragraph" w:customStyle="1" w:styleId="Nazwatabeli">
    <w:name w:val="Nazwa tabeli"/>
    <w:basedOn w:val="Standard"/>
    <w:pPr>
      <w:spacing w:before="57" w:after="0" w:line="240" w:lineRule="atLeast"/>
      <w:jc w:val="center"/>
      <w:textAlignment w:val="center"/>
    </w:pPr>
    <w:rPr>
      <w:rFonts w:ascii="Helvetica" w:hAnsi="Helvetica" w:cs="Helvetica"/>
      <w:b/>
      <w:bCs/>
      <w:color w:val="000000"/>
      <w:spacing w:val="2"/>
      <w:sz w:val="19"/>
      <w:szCs w:val="19"/>
    </w:rPr>
  </w:style>
  <w:style w:type="paragraph" w:customStyle="1" w:styleId="11">
    <w:name w:val="11)..."/>
    <w:basedOn w:val="Brakstyluakapitowego"/>
    <w:pPr>
      <w:tabs>
        <w:tab w:val="left" w:pos="1134"/>
        <w:tab w:val="right" w:pos="8561"/>
      </w:tabs>
      <w:spacing w:line="240" w:lineRule="atLeast"/>
      <w:ind w:left="567" w:hanging="340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Tabelarodek">
    <w:name w:val="Tabela środek"/>
    <w:basedOn w:val="Brakstyluakapitowego"/>
    <w:pPr>
      <w:spacing w:before="40" w:line="150" w:lineRule="atLeast"/>
      <w:jc w:val="center"/>
    </w:pPr>
    <w:rPr>
      <w:rFonts w:ascii="Helvetica" w:hAnsi="Helvetica" w:cs="Helvetica"/>
      <w:spacing w:val="1"/>
      <w:sz w:val="14"/>
      <w:szCs w:val="14"/>
    </w:rPr>
  </w:style>
  <w:style w:type="paragraph" w:customStyle="1" w:styleId="Tabelatekst">
    <w:name w:val="Tabela tekst"/>
    <w:basedOn w:val="Brakstyluakapitowego"/>
    <w:pPr>
      <w:tabs>
        <w:tab w:val="left" w:pos="227"/>
        <w:tab w:val="left" w:pos="340"/>
      </w:tabs>
      <w:spacing w:line="170" w:lineRule="atLeast"/>
    </w:pPr>
    <w:rPr>
      <w:rFonts w:ascii="Helvetica" w:hAnsi="Helvetica" w:cs="Helvetica"/>
      <w:spacing w:val="1"/>
      <w:sz w:val="14"/>
      <w:szCs w:val="14"/>
    </w:rPr>
  </w:style>
  <w:style w:type="paragraph" w:customStyle="1" w:styleId="Tabelaa">
    <w:name w:val="Tabela a).."/>
    <w:basedOn w:val="Brakstyluakapitowego"/>
    <w:pPr>
      <w:tabs>
        <w:tab w:val="left" w:pos="397"/>
        <w:tab w:val="left" w:pos="794"/>
        <w:tab w:val="left" w:pos="1237"/>
        <w:tab w:val="right" w:pos="8391"/>
      </w:tabs>
      <w:spacing w:before="57" w:line="170" w:lineRule="atLeast"/>
      <w:ind w:left="397" w:hanging="170"/>
    </w:pPr>
    <w:rPr>
      <w:rFonts w:ascii="Helvetica" w:hAnsi="Helvetica" w:cs="Helvetica"/>
      <w:spacing w:val="1"/>
      <w:sz w:val="14"/>
      <w:szCs w:val="14"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otnote">
    <w:name w:val="Footnote"/>
    <w:basedOn w:val="Standard"/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TekstprzypisudolnegoZnak">
    <w:name w:val="Tekst przypisu dolnego Znak"/>
    <w:basedOn w:val="Domylnaczcionkaakapitu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StopkaZnak">
    <w:name w:val="Stopka Znak"/>
    <w:basedOn w:val="Domylnaczcionkaakapitu"/>
    <w:rPr>
      <w:rFonts w:ascii="Calibri" w:eastAsia="Times New Roman" w:hAnsi="Calibri" w:cs="Times New Roman"/>
    </w:rPr>
  </w:style>
  <w:style w:type="character" w:customStyle="1" w:styleId="ListLabel1">
    <w:name w:val="ListLabel 1"/>
    <w:rPr>
      <w:rFonts w:cs="Times New Roman"/>
    </w:rPr>
  </w:style>
  <w:style w:type="character" w:customStyle="1" w:styleId="FootnoteSymbol">
    <w:name w:val="Footnote Symbol"/>
  </w:style>
  <w:style w:type="paragraph" w:styleId="Tekstdymka">
    <w:name w:val="Balloon Text"/>
    <w:basedOn w:val="Normalny"/>
    <w:link w:val="TekstdymkaZnak"/>
    <w:uiPriority w:val="99"/>
    <w:semiHidden/>
    <w:unhideWhenUsed/>
    <w:rsid w:val="007E4837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837"/>
    <w:rPr>
      <w:rFonts w:ascii="Tahoma" w:hAnsi="Tahoma"/>
      <w:sz w:val="16"/>
      <w:szCs w:val="14"/>
    </w:rPr>
  </w:style>
  <w:style w:type="paragraph" w:customStyle="1" w:styleId="Style14">
    <w:name w:val="Style14"/>
    <w:basedOn w:val="Normalny"/>
    <w:uiPriority w:val="99"/>
    <w:rsid w:val="0030419C"/>
    <w:pPr>
      <w:suppressAutoHyphens w:val="0"/>
      <w:autoSpaceDE w:val="0"/>
      <w:adjustRightInd w:val="0"/>
      <w:spacing w:line="269" w:lineRule="exact"/>
      <w:ind w:hanging="331"/>
      <w:jc w:val="both"/>
      <w:textAlignment w:val="auto"/>
    </w:pPr>
    <w:rPr>
      <w:rFonts w:ascii="Arial Unicode MS" w:eastAsia="Arial Unicode MS" w:hAnsiTheme="minorHAnsi" w:cs="Arial Unicode MS"/>
      <w:kern w:val="0"/>
      <w:lang w:eastAsia="pl-PL" w:bidi="ar-SA"/>
    </w:rPr>
  </w:style>
  <w:style w:type="character" w:customStyle="1" w:styleId="FontStyle60">
    <w:name w:val="Font Style60"/>
    <w:basedOn w:val="Domylnaczcionkaakapitu"/>
    <w:uiPriority w:val="99"/>
    <w:rsid w:val="0030419C"/>
    <w:rPr>
      <w:rFonts w:ascii="Calibri" w:hAnsi="Calibri" w:cs="Calibr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">
    <w:name w:val="Nagłówek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Brakstyluakapitowego">
    <w:name w:val="[Brak stylu akapitowego]"/>
    <w:pPr>
      <w:widowControl/>
      <w:spacing w:line="288" w:lineRule="auto"/>
      <w:textAlignment w:val="center"/>
    </w:pPr>
    <w:rPr>
      <w:rFonts w:eastAsia="Times New Roman" w:cs="Times New Roman"/>
      <w:color w:val="000000"/>
      <w:lang w:bidi="ar-SA"/>
    </w:rPr>
  </w:style>
  <w:style w:type="paragraph" w:customStyle="1" w:styleId="Dz1">
    <w:name w:val="Dz_1"/>
    <w:basedOn w:val="Brakstyluakapitowego"/>
    <w:pPr>
      <w:tabs>
        <w:tab w:val="left" w:pos="397"/>
        <w:tab w:val="left" w:pos="454"/>
        <w:tab w:val="left" w:pos="601"/>
        <w:tab w:val="left" w:pos="720"/>
        <w:tab w:val="left" w:pos="1440"/>
        <w:tab w:val="left" w:pos="2154"/>
        <w:tab w:val="left" w:pos="2880"/>
      </w:tabs>
      <w:spacing w:before="62" w:after="79" w:line="320" w:lineRule="atLeast"/>
    </w:pPr>
    <w:rPr>
      <w:rFonts w:ascii="Helvetica" w:hAnsi="Helvetica" w:cs="Helvetica"/>
      <w:b/>
      <w:bCs/>
      <w:spacing w:val="3"/>
      <w:sz w:val="27"/>
      <w:szCs w:val="27"/>
    </w:rPr>
  </w:style>
  <w:style w:type="paragraph" w:customStyle="1" w:styleId="Art">
    <w:name w:val="Art."/>
    <w:basedOn w:val="Brakstyluakapitowego"/>
    <w:pPr>
      <w:spacing w:line="240" w:lineRule="atLeast"/>
      <w:ind w:firstLine="238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1">
    <w:name w:val="1)..."/>
    <w:basedOn w:val="Brakstyluakapitowego"/>
    <w:pPr>
      <w:tabs>
        <w:tab w:val="right" w:leader="dot" w:pos="567"/>
        <w:tab w:val="left" w:pos="1134"/>
        <w:tab w:val="right" w:pos="8561"/>
      </w:tabs>
      <w:spacing w:line="240" w:lineRule="atLeast"/>
      <w:ind w:left="567" w:hanging="227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a">
    <w:name w:val="a)..."/>
    <w:basedOn w:val="Brakstyluakapitowego"/>
    <w:pPr>
      <w:tabs>
        <w:tab w:val="right" w:pos="8788"/>
        <w:tab w:val="left" w:pos="10794"/>
      </w:tabs>
      <w:spacing w:line="240" w:lineRule="atLeast"/>
      <w:ind w:left="794" w:hanging="227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Luka">
    <w:name w:val="Luka"/>
    <w:basedOn w:val="Brakstyluakapitowego"/>
    <w:pPr>
      <w:tabs>
        <w:tab w:val="left" w:pos="2268"/>
        <w:tab w:val="left" w:pos="2494"/>
        <w:tab w:val="left" w:pos="3288"/>
        <w:tab w:val="right" w:pos="8164"/>
      </w:tabs>
      <w:spacing w:before="11" w:after="20" w:line="60" w:lineRule="atLeast"/>
      <w:ind w:left="170"/>
      <w:jc w:val="both"/>
    </w:pPr>
    <w:rPr>
      <w:rFonts w:ascii="Helvetica" w:hAnsi="Helvetica" w:cs="Helvetica"/>
      <w:sz w:val="6"/>
      <w:szCs w:val="6"/>
    </w:rPr>
  </w:style>
  <w:style w:type="paragraph" w:customStyle="1" w:styleId="Artbezakapit">
    <w:name w:val="Art. bez akapit"/>
    <w:basedOn w:val="Standard"/>
    <w:pPr>
      <w:spacing w:after="0" w:line="230" w:lineRule="atLeast"/>
      <w:jc w:val="both"/>
      <w:textAlignment w:val="center"/>
    </w:pPr>
    <w:rPr>
      <w:rFonts w:ascii="Helvetica" w:hAnsi="Helvetica" w:cs="Helvetica"/>
      <w:color w:val="000000"/>
      <w:spacing w:val="2"/>
      <w:sz w:val="19"/>
      <w:szCs w:val="19"/>
    </w:rPr>
  </w:style>
  <w:style w:type="paragraph" w:customStyle="1" w:styleId="Dz11">
    <w:name w:val="Dz_1.1."/>
    <w:basedOn w:val="Brakstyluakapitowego"/>
    <w:pPr>
      <w:tabs>
        <w:tab w:val="left" w:pos="340"/>
        <w:tab w:val="left" w:pos="454"/>
        <w:tab w:val="left" w:pos="540"/>
        <w:tab w:val="left" w:pos="1440"/>
        <w:tab w:val="left" w:pos="2154"/>
        <w:tab w:val="left" w:pos="2880"/>
      </w:tabs>
      <w:spacing w:before="130" w:after="57" w:line="260" w:lineRule="atLeast"/>
    </w:pPr>
    <w:rPr>
      <w:rFonts w:ascii="Helvetica" w:hAnsi="Helvetica" w:cs="Helvetica"/>
      <w:b/>
      <w:bCs/>
      <w:spacing w:val="2"/>
      <w:sz w:val="22"/>
      <w:szCs w:val="22"/>
    </w:rPr>
  </w:style>
  <w:style w:type="paragraph" w:customStyle="1" w:styleId="Nazwatabeli">
    <w:name w:val="Nazwa tabeli"/>
    <w:basedOn w:val="Standard"/>
    <w:pPr>
      <w:spacing w:before="57" w:after="0" w:line="240" w:lineRule="atLeast"/>
      <w:jc w:val="center"/>
      <w:textAlignment w:val="center"/>
    </w:pPr>
    <w:rPr>
      <w:rFonts w:ascii="Helvetica" w:hAnsi="Helvetica" w:cs="Helvetica"/>
      <w:b/>
      <w:bCs/>
      <w:color w:val="000000"/>
      <w:spacing w:val="2"/>
      <w:sz w:val="19"/>
      <w:szCs w:val="19"/>
    </w:rPr>
  </w:style>
  <w:style w:type="paragraph" w:customStyle="1" w:styleId="11">
    <w:name w:val="11)..."/>
    <w:basedOn w:val="Brakstyluakapitowego"/>
    <w:pPr>
      <w:tabs>
        <w:tab w:val="left" w:pos="1134"/>
        <w:tab w:val="right" w:pos="8561"/>
      </w:tabs>
      <w:spacing w:line="240" w:lineRule="atLeast"/>
      <w:ind w:left="567" w:hanging="340"/>
      <w:jc w:val="both"/>
    </w:pPr>
    <w:rPr>
      <w:rFonts w:ascii="Helvetica" w:hAnsi="Helvetica" w:cs="Helvetica"/>
      <w:spacing w:val="2"/>
      <w:sz w:val="19"/>
      <w:szCs w:val="19"/>
    </w:rPr>
  </w:style>
  <w:style w:type="paragraph" w:customStyle="1" w:styleId="Tabelarodek">
    <w:name w:val="Tabela środek"/>
    <w:basedOn w:val="Brakstyluakapitowego"/>
    <w:pPr>
      <w:spacing w:before="40" w:line="150" w:lineRule="atLeast"/>
      <w:jc w:val="center"/>
    </w:pPr>
    <w:rPr>
      <w:rFonts w:ascii="Helvetica" w:hAnsi="Helvetica" w:cs="Helvetica"/>
      <w:spacing w:val="1"/>
      <w:sz w:val="14"/>
      <w:szCs w:val="14"/>
    </w:rPr>
  </w:style>
  <w:style w:type="paragraph" w:customStyle="1" w:styleId="Tabelatekst">
    <w:name w:val="Tabela tekst"/>
    <w:basedOn w:val="Brakstyluakapitowego"/>
    <w:pPr>
      <w:tabs>
        <w:tab w:val="left" w:pos="227"/>
        <w:tab w:val="left" w:pos="340"/>
      </w:tabs>
      <w:spacing w:line="170" w:lineRule="atLeast"/>
    </w:pPr>
    <w:rPr>
      <w:rFonts w:ascii="Helvetica" w:hAnsi="Helvetica" w:cs="Helvetica"/>
      <w:spacing w:val="1"/>
      <w:sz w:val="14"/>
      <w:szCs w:val="14"/>
    </w:rPr>
  </w:style>
  <w:style w:type="paragraph" w:customStyle="1" w:styleId="Tabelaa">
    <w:name w:val="Tabela a).."/>
    <w:basedOn w:val="Brakstyluakapitowego"/>
    <w:pPr>
      <w:tabs>
        <w:tab w:val="left" w:pos="397"/>
        <w:tab w:val="left" w:pos="794"/>
        <w:tab w:val="left" w:pos="1237"/>
        <w:tab w:val="right" w:pos="8391"/>
      </w:tabs>
      <w:spacing w:before="57" w:line="170" w:lineRule="atLeast"/>
      <w:ind w:left="397" w:hanging="170"/>
    </w:pPr>
    <w:rPr>
      <w:rFonts w:ascii="Helvetica" w:hAnsi="Helvetica" w:cs="Helvetica"/>
      <w:spacing w:val="1"/>
      <w:sz w:val="14"/>
      <w:szCs w:val="14"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otnote">
    <w:name w:val="Footnote"/>
    <w:basedOn w:val="Standard"/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character" w:customStyle="1" w:styleId="TekstprzypisudolnegoZnak">
    <w:name w:val="Tekst przypisu dolnego Znak"/>
    <w:basedOn w:val="Domylnaczcionkaakapitu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StopkaZnak">
    <w:name w:val="Stopka Znak"/>
    <w:basedOn w:val="Domylnaczcionkaakapitu"/>
    <w:rPr>
      <w:rFonts w:ascii="Calibri" w:eastAsia="Times New Roman" w:hAnsi="Calibri" w:cs="Times New Roman"/>
    </w:rPr>
  </w:style>
  <w:style w:type="character" w:customStyle="1" w:styleId="ListLabel1">
    <w:name w:val="ListLabel 1"/>
    <w:rPr>
      <w:rFonts w:cs="Times New Roman"/>
    </w:rPr>
  </w:style>
  <w:style w:type="character" w:customStyle="1" w:styleId="FootnoteSymbol">
    <w:name w:val="Footnote Symbol"/>
  </w:style>
  <w:style w:type="paragraph" w:styleId="Tekstdymka">
    <w:name w:val="Balloon Text"/>
    <w:basedOn w:val="Normalny"/>
    <w:link w:val="TekstdymkaZnak"/>
    <w:uiPriority w:val="99"/>
    <w:semiHidden/>
    <w:unhideWhenUsed/>
    <w:rsid w:val="007E4837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837"/>
    <w:rPr>
      <w:rFonts w:ascii="Tahoma" w:hAnsi="Tahoma"/>
      <w:sz w:val="16"/>
      <w:szCs w:val="14"/>
    </w:rPr>
  </w:style>
  <w:style w:type="paragraph" w:customStyle="1" w:styleId="Style14">
    <w:name w:val="Style14"/>
    <w:basedOn w:val="Normalny"/>
    <w:uiPriority w:val="99"/>
    <w:rsid w:val="0030419C"/>
    <w:pPr>
      <w:suppressAutoHyphens w:val="0"/>
      <w:autoSpaceDE w:val="0"/>
      <w:adjustRightInd w:val="0"/>
      <w:spacing w:line="269" w:lineRule="exact"/>
      <w:ind w:hanging="331"/>
      <w:jc w:val="both"/>
      <w:textAlignment w:val="auto"/>
    </w:pPr>
    <w:rPr>
      <w:rFonts w:ascii="Arial Unicode MS" w:eastAsia="Arial Unicode MS" w:hAnsiTheme="minorHAnsi" w:cs="Arial Unicode MS"/>
      <w:kern w:val="0"/>
      <w:lang w:eastAsia="pl-PL" w:bidi="ar-SA"/>
    </w:rPr>
  </w:style>
  <w:style w:type="character" w:customStyle="1" w:styleId="FontStyle60">
    <w:name w:val="Font Style60"/>
    <w:basedOn w:val="Domylnaczcionkaakapitu"/>
    <w:uiPriority w:val="99"/>
    <w:rsid w:val="0030419C"/>
    <w:rPr>
      <w:rFonts w:ascii="Calibri" w:hAnsi="Calibr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E146ECB-6078-40B3-9D1C-56C11AC60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1475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Mariusz</cp:lastModifiedBy>
  <cp:revision>4</cp:revision>
  <cp:lastPrinted>2019-03-14T20:38:00Z</cp:lastPrinted>
  <dcterms:created xsi:type="dcterms:W3CDTF">2019-04-04T18:04:00Z</dcterms:created>
  <dcterms:modified xsi:type="dcterms:W3CDTF">2019-05-05T16:35:00Z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