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3C" w:rsidRPr="005F433C" w:rsidRDefault="005F433C" w:rsidP="005F433C">
      <w:pPr>
        <w:shd w:val="clear" w:color="auto" w:fill="FFFFFF"/>
        <w:spacing w:after="0" w:line="306" w:lineRule="atLeast"/>
        <w:jc w:val="center"/>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ZABEZPIECZENIE I NAPRAWA KONSTRUKCJI WSPORCZYCH POD RUROCIĄGIEM.</w:t>
      </w:r>
      <w:r w:rsidRPr="005F433C">
        <w:rPr>
          <w:rFonts w:ascii="Helvetica" w:eastAsia="Times New Roman" w:hAnsi="Helvetica" w:cs="Helvetica"/>
          <w:color w:val="4A4A4A"/>
          <w:sz w:val="18"/>
          <w:szCs w:val="18"/>
          <w:lang w:eastAsia="pl-PL"/>
        </w:rPr>
        <w:br/>
      </w:r>
      <w:r w:rsidRPr="005F433C">
        <w:rPr>
          <w:rFonts w:ascii="Helvetica" w:eastAsia="Times New Roman" w:hAnsi="Helvetica" w:cs="Helvetica"/>
          <w:b/>
          <w:bCs/>
          <w:color w:val="4A4A4A"/>
          <w:sz w:val="18"/>
          <w:lang w:eastAsia="pl-PL"/>
        </w:rPr>
        <w:t>Numer ogłoszenia: 170028 – 2014; data zamieszczenia: 20.05.2014</w:t>
      </w:r>
      <w:r w:rsidRPr="005F433C">
        <w:rPr>
          <w:rFonts w:ascii="Helvetica" w:eastAsia="Times New Roman" w:hAnsi="Helvetica" w:cs="Helvetica"/>
          <w:color w:val="4A4A4A"/>
          <w:sz w:val="18"/>
          <w:szCs w:val="18"/>
          <w:lang w:eastAsia="pl-PL"/>
        </w:rPr>
        <w:br/>
        <w:t>OGŁOSZENIE O ZAMÓWIENIU – roboty budowlane</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Zamieszczanie ogłoszenia:</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obowiązkowe.</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Ogłoszenie dotyczy:</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zamówienia publicznego.</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SEKCJA I: ZAMAWIAJĄCY</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 1) NAZWA I ADRES:</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Muzeum Przyrody i Techniki Ekomuzeum im. Jana Pazdura w Starachowicach , ul. Wielkopiecowa 1, 27-200 Starachowice, woj. świętokrzyskie, tel. 041 2754083, faks 041 2754083.</w:t>
      </w:r>
    </w:p>
    <w:p w:rsidR="005F433C" w:rsidRPr="005F433C" w:rsidRDefault="005F433C" w:rsidP="005F433C">
      <w:pPr>
        <w:numPr>
          <w:ilvl w:val="0"/>
          <w:numId w:val="1"/>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Adres strony internetowej zamawiającego:</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www.ekomuzeum.pl</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 2) RODZAJ ZAMAWIAJĄCEGO:</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Inny: Samorządowa instytucja kultury.</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SEKCJA II: PRZEDMIOT ZAMÓWIENIA</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II.1) OKREŚLENIE PRZEDMIOTU ZAMÓWIENIA</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II.1.1) Nazwa nadana zamówieniu przez zamawiającego:</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ZABEZPIECZENIE I NAPRAWA KONSTRUKCJI WSPORCZYCH POD RUROCIĄGIEM..</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II.1.2) Rodzaj zamówienia:</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roboty budowlane.</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II.1.4) Określenie przedmiotu oraz wielkości lub zakresu zamówienia:</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Zamówienie polega na naprawie i wzmocnieniu słupów stalowych (razem z fundamentami) S2, S3 i S4 stanowiących element konstrukcji wsporczej rurociągów będących częścią zespołu Wielkiego Pieca położonego na terenie Muzeum Przyrody i Techniki w Starachowicach, ul. Wielkopiecowa 1, Starachowice. Słupy będące przedmiotem naprawy powstały pod koniec XIX w. Istotne dla zamawiającego jest wierne odtworzenie słupów w tym w szczególności nitowanych połączeń konstrukcji. Obiekt wpisany jest do rejestru zabytków. Prace będą wykonywane pod nadzorem Świętokrzyskiego Wojewódzkiego Konserwatora Zabytków..</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II.1.5) przewiduje się udzielenie zamówień uzupełniających:</w:t>
      </w:r>
    </w:p>
    <w:p w:rsidR="005F433C" w:rsidRPr="005F433C" w:rsidRDefault="005F433C" w:rsidP="005F433C">
      <w:pPr>
        <w:numPr>
          <w:ilvl w:val="0"/>
          <w:numId w:val="2"/>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Określenie przedmiotu oraz wielkości lub zakresu zamówień uzupełniających</w:t>
      </w:r>
    </w:p>
    <w:p w:rsidR="005F433C" w:rsidRPr="005F433C" w:rsidRDefault="005F433C" w:rsidP="005F433C">
      <w:pPr>
        <w:numPr>
          <w:ilvl w:val="0"/>
          <w:numId w:val="2"/>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Zamawiający przewiduje możliwość udzielenia zamówień uzupełniających do wysokości 50% wartości zamówienia podstawowego, polegającego na naprawie i wzmocnieniu słupów stalowych S1 i S5.</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II.1.6) Wspólny Słownik Zamówień (CPV):</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45.45.30.00-7, 45.11.00.00-1, 45.11.13.00-1, 45.20.00.00-9, 45.21.23.13-3, 45.22.31.10-0, 45.22.32.10-1, 45.44.21.00-8, 45.44.22.00-9.</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II.1.7) Czy dopuszcza się złożenie oferty częściowej:</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nie.</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II.1.8) Czy dopuszcza się złożenie oferty wariantowej:</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nie.</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 </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II.2) CZAS TRWANIA ZAMÓWIENIA LUB TERMIN WYKONANIA:</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Okres w dniach: 60.</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SEKCJA III: INFORMACJE O CHARAKTERZE PRAWNYM, EKONOMICZNYM, FINANSOWYM I TECHNICZNYM</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III.1) WADIUM</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Informacja na temat wadium:</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Zamawiający nie wymaga wniesienia wadium</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III.2) ZALICZKI</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III.3) WARUNKI UDZIAŁU W POSTĘPOWANIU ORAZ OPIS SPOSOBU DOKONYWANIA OCENY SPEŁNIANIA TYCH WARUNKÓW</w:t>
      </w:r>
    </w:p>
    <w:p w:rsidR="005F433C" w:rsidRPr="005F433C" w:rsidRDefault="005F433C" w:rsidP="005F433C">
      <w:pPr>
        <w:numPr>
          <w:ilvl w:val="0"/>
          <w:numId w:val="3"/>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 3.1) Uprawnienia do wykonywania określonej działalności lub czynności, jeżeli przepisy prawa nakładają obowiązek ich posiadania</w:t>
      </w:r>
    </w:p>
    <w:p w:rsidR="005F433C" w:rsidRPr="005F433C" w:rsidRDefault="005F433C" w:rsidP="005F433C">
      <w:pPr>
        <w:shd w:val="clear" w:color="auto" w:fill="FFFFFF"/>
        <w:spacing w:after="0" w:line="306" w:lineRule="atLeast"/>
        <w:ind w:left="72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Opis sposobu dokonywania oceny spełniania tego warunku</w:t>
      </w:r>
    </w:p>
    <w:p w:rsidR="005F433C" w:rsidRPr="005F433C" w:rsidRDefault="005F433C" w:rsidP="005F433C">
      <w:pPr>
        <w:numPr>
          <w:ilvl w:val="0"/>
          <w:numId w:val="4"/>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lastRenderedPageBreak/>
        <w:t>brak wymagań w tym zakresie</w:t>
      </w:r>
    </w:p>
    <w:p w:rsidR="005F433C" w:rsidRPr="005F433C" w:rsidRDefault="005F433C" w:rsidP="005F433C">
      <w:pPr>
        <w:numPr>
          <w:ilvl w:val="0"/>
          <w:numId w:val="5"/>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III.3.2) Wiedza i doświadczenie</w:t>
      </w:r>
    </w:p>
    <w:p w:rsidR="005F433C" w:rsidRPr="005F433C" w:rsidRDefault="005F433C" w:rsidP="005F433C">
      <w:pPr>
        <w:shd w:val="clear" w:color="auto" w:fill="FFFFFF"/>
        <w:spacing w:after="0" w:line="306" w:lineRule="atLeast"/>
        <w:ind w:left="72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Opis sposobu dokonywania oceny spełniania tego warunku</w:t>
      </w:r>
    </w:p>
    <w:p w:rsidR="005F433C" w:rsidRPr="005F433C" w:rsidRDefault="005F433C" w:rsidP="005F433C">
      <w:pPr>
        <w:numPr>
          <w:ilvl w:val="0"/>
          <w:numId w:val="6"/>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brak wymagań w tym zakresie</w:t>
      </w:r>
    </w:p>
    <w:p w:rsidR="005F433C" w:rsidRPr="005F433C" w:rsidRDefault="005F433C" w:rsidP="005F433C">
      <w:pPr>
        <w:numPr>
          <w:ilvl w:val="0"/>
          <w:numId w:val="7"/>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III.3.3) Potencjał techniczny</w:t>
      </w:r>
    </w:p>
    <w:p w:rsidR="005F433C" w:rsidRPr="005F433C" w:rsidRDefault="005F433C" w:rsidP="005F433C">
      <w:pPr>
        <w:shd w:val="clear" w:color="auto" w:fill="FFFFFF"/>
        <w:spacing w:after="0" w:line="306" w:lineRule="atLeast"/>
        <w:ind w:left="72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Opis sposobu dokonywania oceny spełniania tego warunku</w:t>
      </w:r>
    </w:p>
    <w:p w:rsidR="005F433C" w:rsidRPr="005F433C" w:rsidRDefault="005F433C" w:rsidP="005F433C">
      <w:pPr>
        <w:numPr>
          <w:ilvl w:val="0"/>
          <w:numId w:val="8"/>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brak wymagań w tym zakresie</w:t>
      </w:r>
    </w:p>
    <w:p w:rsidR="005F433C" w:rsidRPr="005F433C" w:rsidRDefault="005F433C" w:rsidP="005F433C">
      <w:pPr>
        <w:numPr>
          <w:ilvl w:val="0"/>
          <w:numId w:val="9"/>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III.3.4) Osoby zdolne do wykonania zamówienia</w:t>
      </w:r>
    </w:p>
    <w:p w:rsidR="005F433C" w:rsidRPr="005F433C" w:rsidRDefault="005F433C" w:rsidP="005F433C">
      <w:pPr>
        <w:shd w:val="clear" w:color="auto" w:fill="FFFFFF"/>
        <w:spacing w:after="0" w:line="306" w:lineRule="atLeast"/>
        <w:ind w:left="72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Opis sposobu dokonywania oceny spełniania tego warunku</w:t>
      </w:r>
    </w:p>
    <w:p w:rsidR="005F433C" w:rsidRPr="005F433C" w:rsidRDefault="005F433C" w:rsidP="005F433C">
      <w:pPr>
        <w:numPr>
          <w:ilvl w:val="0"/>
          <w:numId w:val="10"/>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Dysponowanie przy realizacji zamówienia minimum 1 osobą posiadającą uprawnienia budowlane do kierowania robotami budowlanymi w specjalności konstrukcyjno – budowlanej oraz co najmniej 2-letnią praktykę zawodową na budowie przy zabytkach nieruchomych wpisanych do rejestru zabytków.</w:t>
      </w:r>
    </w:p>
    <w:p w:rsidR="005F433C" w:rsidRPr="005F433C" w:rsidRDefault="005F433C" w:rsidP="005F433C">
      <w:pPr>
        <w:numPr>
          <w:ilvl w:val="0"/>
          <w:numId w:val="11"/>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III.3.5) Sytuacja ekonomiczna i finansowa</w:t>
      </w:r>
    </w:p>
    <w:p w:rsidR="005F433C" w:rsidRPr="005F433C" w:rsidRDefault="005F433C" w:rsidP="005F433C">
      <w:pPr>
        <w:shd w:val="clear" w:color="auto" w:fill="FFFFFF"/>
        <w:spacing w:after="0" w:line="306" w:lineRule="atLeast"/>
        <w:ind w:left="720"/>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Opis sposobu dokonywania oceny spełniania tego warunku</w:t>
      </w:r>
    </w:p>
    <w:p w:rsidR="005F433C" w:rsidRPr="005F433C" w:rsidRDefault="005F433C" w:rsidP="005F433C">
      <w:pPr>
        <w:numPr>
          <w:ilvl w:val="0"/>
          <w:numId w:val="12"/>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brak wymagań w tym zakresie</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III.4) INFORMACJA O OŚWIADCZENIACH LUB DOKUMENTACH, JAKIE MAJĄ DOSTARCZYĆ WYKONAWCY W CELU POTWIERDZENIA SPEŁNIANIA WARUNKÓW UDZIAŁU W POSTĘPOWANIU ORAZ NIEPODLEGANIA WYKLUCZENIU NA PODSTAWIE ART. 24 UST. 1 USTAWY</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III.4.1) W zakresie wykazania spełniania przez wykonawcę warunków, o których mowa w art. 22 ust. 1 ustawy, oprócz oświadczenia o spełnianiu warunków udziału w postępowaniu należy przedłożyć:</w:t>
      </w:r>
    </w:p>
    <w:p w:rsidR="005F433C" w:rsidRPr="005F433C" w:rsidRDefault="005F433C" w:rsidP="005F433C">
      <w:pPr>
        <w:numPr>
          <w:ilvl w:val="0"/>
          <w:numId w:val="13"/>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oświadczenie, że osoby, które będą uczestniczyć w wykonywaniu zamówienia, posiadają wymagane uprawnienia, jeżeli ustawy nakładają obowiązek posiadania takich uprawnień;</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III.4.2) W zakresie potwierdzenia niepodlegania wykluczeniu na podstawie art. 24 ust. 1 ustawy, należy przedłożyć:</w:t>
      </w:r>
    </w:p>
    <w:p w:rsidR="005F433C" w:rsidRPr="005F433C" w:rsidRDefault="005F433C" w:rsidP="005F433C">
      <w:pPr>
        <w:numPr>
          <w:ilvl w:val="0"/>
          <w:numId w:val="14"/>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oświadczenie o braku podstaw do wykluczenia;</w:t>
      </w:r>
    </w:p>
    <w:p w:rsidR="005F433C" w:rsidRPr="005F433C" w:rsidRDefault="005F433C" w:rsidP="005F433C">
      <w:pPr>
        <w:numPr>
          <w:ilvl w:val="0"/>
          <w:numId w:val="14"/>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III.4.3) Dokumenty podmiotów zagranicznych</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Jeżeli wykonawca ma siedzibę lub miejsce zamieszkania poza terytorium Rzeczypospolitej Polskiej, przedkłada:</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III.4.3.1) dokument wystawiony w kraju, w którym ma siedzibę lub miejsce zamieszkania potwierdzający, że:</w:t>
      </w:r>
    </w:p>
    <w:p w:rsidR="005F433C" w:rsidRPr="005F433C" w:rsidRDefault="005F433C" w:rsidP="005F433C">
      <w:pPr>
        <w:numPr>
          <w:ilvl w:val="0"/>
          <w:numId w:val="15"/>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III.4.4) Dokumenty dotyczące przynależności do tej samej grupy kapitałowej</w:t>
      </w:r>
    </w:p>
    <w:p w:rsidR="005F433C" w:rsidRPr="005F433C" w:rsidRDefault="005F433C" w:rsidP="005F433C">
      <w:pPr>
        <w:numPr>
          <w:ilvl w:val="0"/>
          <w:numId w:val="16"/>
        </w:numPr>
        <w:spacing w:after="0" w:line="306" w:lineRule="atLeast"/>
        <w:ind w:left="0"/>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lista podmiotów należących do tej samej grupy kapitałowej w rozumieniu ustawy z dnia 16 lutego 2007 r. o ochronie konkurencji i konsumentów albo informacji o tym, że nie należy do grupy kapitałowej;</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SEKCJA IV: PROCEDURA</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IV.1) TRYB UDZIELENIA ZAMÓWIENIA</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IV.1.1) Tryb udzielenia zamówienia:</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przetarg nieograniczony.</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IV.2) KRYTERIA OCENY OFERT</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lastRenderedPageBreak/>
        <w:t>IV.2.1) Kryteria oceny ofert: </w:t>
      </w:r>
      <w:r w:rsidRPr="005F433C">
        <w:rPr>
          <w:rFonts w:ascii="Helvetica" w:eastAsia="Times New Roman" w:hAnsi="Helvetica" w:cs="Helvetica"/>
          <w:color w:val="4A4A4A"/>
          <w:sz w:val="18"/>
          <w:szCs w:val="18"/>
          <w:lang w:eastAsia="pl-PL"/>
        </w:rPr>
        <w:t>najniższa cena.</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IV.3) ZMIANA UMOWY</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przewiduje się istotne zmiany postanowień zawartej umowy w stosunku do treści oferty, na podstawie której dokonano wyboru wykonawcy:</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Dopuszczalne zmiany postanowień umowy oraz określenie warunków zmian</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Zmiany umowy będą mogły nastąpić w następujących okolicznościach: – zaistnienia, po zawarciu umowy, przypadku siły wyższej, przez którą, na potrzeby niniejszego warunku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 zmiany powszechnie obowiązujących przepisów prawa w zakresie mającym wpływ na realizację przedmiotu zamówienia lub świadczenia stron; – powstania rozbieżności lub niejasności w rozumieniu pojęć użytych w umowie, których nie będzie można usunąć w inny sposób, a zmiana będzie umożliwiać usunięcie rozbieżności i doprecyzowanie umowy w celu jednoznacznej interpretacji jej zapisów przez strony; – wystąpienia istotnych wad dokumentacji projektowej skutkującej koniecznością dokonania poprawek lub uzupełnień, jeżeli uniemożliwia to lub istotnie wstrzymuje realizację określonego rodzaju robót mających wpływ na zmianę terminu realizacji – zmianie ulegnie odpowiednio termin realizacji zamówienia;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IV.4) INFORMACJE ADMINISTRACYJNE</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IV.4.1)</w:t>
      </w:r>
      <w:r w:rsidRPr="005F433C">
        <w:rPr>
          <w:rFonts w:ascii="Helvetica" w:eastAsia="Times New Roman" w:hAnsi="Helvetica" w:cs="Helvetica"/>
          <w:color w:val="4A4A4A"/>
          <w:sz w:val="18"/>
          <w:szCs w:val="18"/>
          <w:lang w:eastAsia="pl-PL"/>
        </w:rPr>
        <w:t> </w:t>
      </w:r>
      <w:r w:rsidRPr="005F433C">
        <w:rPr>
          <w:rFonts w:ascii="Helvetica" w:eastAsia="Times New Roman" w:hAnsi="Helvetica" w:cs="Helvetica"/>
          <w:b/>
          <w:bCs/>
          <w:color w:val="4A4A4A"/>
          <w:sz w:val="18"/>
          <w:lang w:eastAsia="pl-PL"/>
        </w:rPr>
        <w:t>Adres strony internetowej, na której jest dostępna specyfikacja istotnych warunków zamówienia:</w:t>
      </w:r>
      <w:r w:rsidRPr="005F433C">
        <w:rPr>
          <w:rFonts w:ascii="Helvetica" w:eastAsia="Times New Roman" w:hAnsi="Helvetica" w:cs="Helvetica"/>
          <w:color w:val="4A4A4A"/>
          <w:sz w:val="18"/>
          <w:szCs w:val="18"/>
          <w:lang w:eastAsia="pl-PL"/>
        </w:rPr>
        <w:t>www.ekomuzeum.pl</w:t>
      </w:r>
      <w:r w:rsidRPr="005F433C">
        <w:rPr>
          <w:rFonts w:ascii="Helvetica" w:eastAsia="Times New Roman" w:hAnsi="Helvetica" w:cs="Helvetica"/>
          <w:color w:val="4A4A4A"/>
          <w:sz w:val="18"/>
          <w:szCs w:val="18"/>
          <w:lang w:eastAsia="pl-PL"/>
        </w:rPr>
        <w:br/>
      </w:r>
      <w:r w:rsidRPr="005F433C">
        <w:rPr>
          <w:rFonts w:ascii="Helvetica" w:eastAsia="Times New Roman" w:hAnsi="Helvetica" w:cs="Helvetica"/>
          <w:b/>
          <w:bCs/>
          <w:color w:val="4A4A4A"/>
          <w:sz w:val="18"/>
          <w:lang w:eastAsia="pl-PL"/>
        </w:rPr>
        <w:t>Specyfikację istotnych warunków zamówienia można uzyskać pod adresem:</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Muzeum Przyrody i Techniki w Starachowicach, ul. Wielkopiecowa 1, 27-200 Starachowice Dział Administracji i Zamówień Publicznych, I piętro budynku administracji.</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IV.4.4) Termin składania wniosków o dopuszczenie do udziału w postępowaniu lub ofert:</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09.06.2014 godzina 10:00, miejsce: Muzeum Przyrody i Techniki w Starachowicach, ul. Wielkopiecowa 1, 27-200 Starachowice Dział Administracji i Zamówień Publicznych, I piętro budynku administracji.</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IV.4.5) Termin związania ofertą:</w:t>
      </w:r>
      <w:r w:rsidRPr="005F433C">
        <w:rPr>
          <w:rFonts w:ascii="Helvetica" w:eastAsia="Times New Roman" w:hAnsi="Helvetica" w:cs="Helvetica"/>
          <w:color w:val="4A4A4A"/>
          <w:sz w:val="18"/>
          <w:lang w:eastAsia="pl-PL"/>
        </w:rPr>
        <w:t> </w:t>
      </w:r>
      <w:r w:rsidRPr="005F433C">
        <w:rPr>
          <w:rFonts w:ascii="Helvetica" w:eastAsia="Times New Roman" w:hAnsi="Helvetica" w:cs="Helvetica"/>
          <w:color w:val="4A4A4A"/>
          <w:sz w:val="18"/>
          <w:szCs w:val="18"/>
          <w:lang w:eastAsia="pl-PL"/>
        </w:rPr>
        <w:t>okres w dniach: 30 (od ostatecznego terminu składania ofert).</w:t>
      </w:r>
    </w:p>
    <w:p w:rsidR="005F433C" w:rsidRPr="005F433C" w:rsidRDefault="005F433C" w:rsidP="005F433C">
      <w:pPr>
        <w:shd w:val="clear" w:color="auto" w:fill="FFFFFF"/>
        <w:spacing w:after="0"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b/>
          <w:bCs/>
          <w:color w:val="4A4A4A"/>
          <w:sz w:val="18"/>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F433C">
        <w:rPr>
          <w:rFonts w:ascii="Helvetica" w:eastAsia="Times New Roman" w:hAnsi="Helvetica" w:cs="Helvetica"/>
          <w:color w:val="4A4A4A"/>
          <w:sz w:val="18"/>
          <w:szCs w:val="18"/>
          <w:lang w:eastAsia="pl-PL"/>
        </w:rPr>
        <w:t>nie</w:t>
      </w:r>
    </w:p>
    <w:p w:rsidR="005F433C" w:rsidRPr="005F433C" w:rsidRDefault="005F433C" w:rsidP="005F433C">
      <w:pPr>
        <w:shd w:val="clear" w:color="auto" w:fill="FFFFFF"/>
        <w:spacing w:after="225" w:line="306" w:lineRule="atLeast"/>
        <w:rPr>
          <w:rFonts w:ascii="Helvetica" w:eastAsia="Times New Roman" w:hAnsi="Helvetica" w:cs="Helvetica"/>
          <w:color w:val="4A4A4A"/>
          <w:sz w:val="18"/>
          <w:szCs w:val="18"/>
          <w:lang w:eastAsia="pl-PL"/>
        </w:rPr>
      </w:pPr>
      <w:r w:rsidRPr="005F433C">
        <w:rPr>
          <w:rFonts w:ascii="Helvetica" w:eastAsia="Times New Roman" w:hAnsi="Helvetica" w:cs="Helvetica"/>
          <w:color w:val="4A4A4A"/>
          <w:sz w:val="18"/>
          <w:szCs w:val="18"/>
          <w:lang w:eastAsia="pl-PL"/>
        </w:rPr>
        <w:t> </w:t>
      </w:r>
    </w:p>
    <w:p w:rsidR="0053077B" w:rsidRDefault="0053077B"/>
    <w:sectPr w:rsidR="0053077B" w:rsidSect="00530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C25"/>
    <w:multiLevelType w:val="multilevel"/>
    <w:tmpl w:val="F6CA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00380"/>
    <w:multiLevelType w:val="multilevel"/>
    <w:tmpl w:val="07D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B1E69"/>
    <w:multiLevelType w:val="multilevel"/>
    <w:tmpl w:val="CD3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8589D"/>
    <w:multiLevelType w:val="multilevel"/>
    <w:tmpl w:val="815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936FA"/>
    <w:multiLevelType w:val="multilevel"/>
    <w:tmpl w:val="9A4C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B33E2"/>
    <w:multiLevelType w:val="multilevel"/>
    <w:tmpl w:val="F96E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77C38"/>
    <w:multiLevelType w:val="multilevel"/>
    <w:tmpl w:val="ACF6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A482B"/>
    <w:multiLevelType w:val="multilevel"/>
    <w:tmpl w:val="959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8225A"/>
    <w:multiLevelType w:val="multilevel"/>
    <w:tmpl w:val="447C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44FF7"/>
    <w:multiLevelType w:val="multilevel"/>
    <w:tmpl w:val="D91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E70DFC"/>
    <w:multiLevelType w:val="multilevel"/>
    <w:tmpl w:val="559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0C211A"/>
    <w:multiLevelType w:val="multilevel"/>
    <w:tmpl w:val="4940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539BC"/>
    <w:multiLevelType w:val="multilevel"/>
    <w:tmpl w:val="47F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16A52"/>
    <w:multiLevelType w:val="multilevel"/>
    <w:tmpl w:val="3456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D3FEF"/>
    <w:multiLevelType w:val="multilevel"/>
    <w:tmpl w:val="E76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85C1F"/>
    <w:multiLevelType w:val="multilevel"/>
    <w:tmpl w:val="D3C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6"/>
  </w:num>
  <w:num w:numId="5">
    <w:abstractNumId w:val="12"/>
  </w:num>
  <w:num w:numId="6">
    <w:abstractNumId w:val="1"/>
  </w:num>
  <w:num w:numId="7">
    <w:abstractNumId w:val="13"/>
  </w:num>
  <w:num w:numId="8">
    <w:abstractNumId w:val="14"/>
  </w:num>
  <w:num w:numId="9">
    <w:abstractNumId w:val="3"/>
  </w:num>
  <w:num w:numId="10">
    <w:abstractNumId w:val="11"/>
  </w:num>
  <w:num w:numId="11">
    <w:abstractNumId w:val="15"/>
  </w:num>
  <w:num w:numId="12">
    <w:abstractNumId w:val="2"/>
  </w:num>
  <w:num w:numId="13">
    <w:abstractNumId w:val="8"/>
  </w:num>
  <w:num w:numId="14">
    <w:abstractNumId w:val="10"/>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433C"/>
    <w:rsid w:val="0053077B"/>
    <w:rsid w:val="005F43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7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F43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433C"/>
    <w:rPr>
      <w:b/>
      <w:bCs/>
    </w:rPr>
  </w:style>
  <w:style w:type="character" w:customStyle="1" w:styleId="apple-converted-space">
    <w:name w:val="apple-converted-space"/>
    <w:basedOn w:val="Domylnaczcionkaakapitu"/>
    <w:rsid w:val="005F433C"/>
  </w:style>
</w:styles>
</file>

<file path=word/webSettings.xml><?xml version="1.0" encoding="utf-8"?>
<w:webSettings xmlns:r="http://schemas.openxmlformats.org/officeDocument/2006/relationships" xmlns:w="http://schemas.openxmlformats.org/wordprocessingml/2006/main">
  <w:divs>
    <w:div w:id="14833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7495</Characters>
  <Application>Microsoft Office Word</Application>
  <DocSecurity>0</DocSecurity>
  <Lines>62</Lines>
  <Paragraphs>17</Paragraphs>
  <ScaleCrop>false</ScaleCrop>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1</cp:revision>
  <dcterms:created xsi:type="dcterms:W3CDTF">2014-05-20T17:38:00Z</dcterms:created>
  <dcterms:modified xsi:type="dcterms:W3CDTF">2014-05-20T17:38:00Z</dcterms:modified>
</cp:coreProperties>
</file>