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sz w:val="28"/>
          <w:szCs w:val="28"/>
        </w:rPr>
      </w:pPr>
      <w:r w:rsidRPr="00210522">
        <w:rPr>
          <w:rStyle w:val="Pogrubienie"/>
          <w:rFonts w:ascii="Bookman Old Style" w:hAnsi="Bookman Old Style" w:cs="Arial"/>
          <w:sz w:val="28"/>
          <w:szCs w:val="28"/>
        </w:rPr>
        <w:t>Wymagania dotyczące uboju świń w celu pozyskania mięsa na użytek własny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8"/>
          <w:szCs w:val="28"/>
        </w:rPr>
      </w:pP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10522">
        <w:rPr>
          <w:rFonts w:ascii="Bookman Old Style" w:hAnsi="Bookman Old Style" w:cs="Arial"/>
          <w:sz w:val="22"/>
          <w:szCs w:val="22"/>
        </w:rPr>
        <w:t>Dopuszcza się dokonywanie uboju świń we własnym gospodarstwie w celu pozyskania mięsa na użytek własny.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FC508E" w:rsidRPr="00F8503F" w:rsidRDefault="00FC508E" w:rsidP="00FC508E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405BB6">
        <w:rPr>
          <w:rFonts w:ascii="Bookman Old Style" w:hAnsi="Bookman Old Style"/>
        </w:rPr>
        <w:t xml:space="preserve">Co najmniej na 24 godziny przed planowanym ubojem </w:t>
      </w:r>
      <w:r w:rsidRPr="00405BB6">
        <w:rPr>
          <w:rFonts w:ascii="Bookman Old Style" w:hAnsi="Bookman Old Style" w:cs="Times New Roman"/>
          <w:lang w:eastAsia="pl-PL"/>
        </w:rPr>
        <w:t xml:space="preserve">właściciel zwierzęcia </w:t>
      </w:r>
      <w:r w:rsidRPr="00405BB6">
        <w:rPr>
          <w:rFonts w:ascii="Bookman Old Style" w:hAnsi="Bookman Old Style" w:cs="Arial"/>
        </w:rPr>
        <w:t>zobowiązany jest</w:t>
      </w:r>
      <w:bookmarkStart w:id="0" w:name="mip35300454"/>
      <w:bookmarkStart w:id="1" w:name="mip35300456"/>
      <w:bookmarkEnd w:id="0"/>
      <w:bookmarkEnd w:id="1"/>
      <w:r w:rsidRPr="00405BB6">
        <w:rPr>
          <w:rFonts w:ascii="Bookman Old Style" w:hAnsi="Bookman Old Style"/>
        </w:rPr>
        <w:t xml:space="preserve"> </w:t>
      </w:r>
      <w:r w:rsidRPr="00F8503F">
        <w:rPr>
          <w:rFonts w:ascii="Bookman Old Style" w:hAnsi="Bookman Old Style"/>
          <w:u w:val="single"/>
        </w:rPr>
        <w:t xml:space="preserve">poinformować pisemnie powiatowego lekarza </w:t>
      </w:r>
      <w:proofErr w:type="spellStart"/>
      <w:r w:rsidRPr="00F8503F">
        <w:rPr>
          <w:rFonts w:ascii="Bookman Old Style" w:hAnsi="Bookman Old Style"/>
          <w:u w:val="single"/>
        </w:rPr>
        <w:t>weterynarii</w:t>
      </w:r>
      <w:proofErr w:type="spellEnd"/>
      <w:r w:rsidRPr="00F8503F">
        <w:rPr>
          <w:rFonts w:ascii="Bookman Old Style" w:hAnsi="Bookman Old Style"/>
          <w:u w:val="single"/>
        </w:rPr>
        <w:t xml:space="preserve">                           o zamiarze przeprowadzenia uboju.</w:t>
      </w:r>
      <w:bookmarkStart w:id="2" w:name="mip35300457"/>
      <w:bookmarkEnd w:id="2"/>
      <w:r w:rsidRPr="00F8503F">
        <w:rPr>
          <w:rFonts w:ascii="Bookman Old Style" w:hAnsi="Bookman Old Style"/>
          <w:b/>
        </w:rPr>
        <w:t xml:space="preserve"> 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10522">
        <w:rPr>
          <w:rFonts w:ascii="Bookman Old Style" w:hAnsi="Bookman Old Style" w:cs="Arial"/>
          <w:sz w:val="22"/>
          <w:szCs w:val="22"/>
          <w:u w:val="single"/>
        </w:rPr>
        <w:t>Zgłoszenie musi zawierać następujące dane</w:t>
      </w:r>
      <w:r w:rsidRPr="00210522">
        <w:rPr>
          <w:rFonts w:ascii="Bookman Old Style" w:hAnsi="Bookman Old Style" w:cs="Arial"/>
          <w:sz w:val="22"/>
          <w:szCs w:val="22"/>
        </w:rPr>
        <w:t>:</w:t>
      </w:r>
    </w:p>
    <w:p w:rsidR="00FC508E" w:rsidRPr="00C07FC2" w:rsidRDefault="00FC508E" w:rsidP="00FC508E">
      <w:pPr>
        <w:spacing w:before="100" w:beforeAutospacing="1"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C07FC2">
        <w:rPr>
          <w:rFonts w:ascii="Bookman Old Style" w:hAnsi="Bookman Old Style" w:cs="Times New Roman"/>
          <w:lang w:eastAsia="pl-PL"/>
        </w:rPr>
        <w:t xml:space="preserve">- imię i nazwisko, miejsce zamieszkania oraz adres posiadacza </w:t>
      </w:r>
      <w:r>
        <w:rPr>
          <w:rFonts w:ascii="Bookman Old Style" w:hAnsi="Bookman Old Style" w:cs="Arial"/>
        </w:rPr>
        <w:t>świni</w:t>
      </w:r>
      <w:r w:rsidRPr="00210522">
        <w:rPr>
          <w:rFonts w:ascii="Bookman Old Style" w:hAnsi="Bookman Old Style" w:cs="Arial"/>
        </w:rPr>
        <w:t xml:space="preserve"> poddawan</w:t>
      </w:r>
      <w:r>
        <w:rPr>
          <w:rFonts w:ascii="Bookman Old Style" w:hAnsi="Bookman Old Style" w:cs="Arial"/>
        </w:rPr>
        <w:t>ej</w:t>
      </w:r>
      <w:r w:rsidRPr="00210522">
        <w:rPr>
          <w:rFonts w:ascii="Bookman Old Style" w:hAnsi="Bookman Old Style" w:cs="Arial"/>
        </w:rPr>
        <w:t> ubojowi,</w:t>
      </w:r>
    </w:p>
    <w:p w:rsidR="00FC508E" w:rsidRPr="00C07FC2" w:rsidRDefault="00FC508E" w:rsidP="00FC508E">
      <w:pPr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>
        <w:rPr>
          <w:rFonts w:ascii="Bookman Old Style" w:hAnsi="Bookman Old Style" w:cs="Times New Roman"/>
          <w:lang w:eastAsia="pl-PL"/>
        </w:rPr>
        <w:t>-</w:t>
      </w:r>
      <w:r w:rsidRPr="00C07FC2">
        <w:rPr>
          <w:rFonts w:ascii="Bookman Old Style" w:hAnsi="Bookman Old Style" w:cs="Times New Roman"/>
          <w:lang w:eastAsia="pl-PL"/>
        </w:rPr>
        <w:t xml:space="preserve"> liczbę </w:t>
      </w:r>
      <w:r>
        <w:rPr>
          <w:rFonts w:ascii="Bookman Old Style" w:hAnsi="Bookman Old Style" w:cs="Times New Roman"/>
          <w:lang w:eastAsia="pl-PL"/>
        </w:rPr>
        <w:t>świń</w:t>
      </w:r>
      <w:r w:rsidRPr="00C07FC2">
        <w:rPr>
          <w:rFonts w:ascii="Bookman Old Style" w:hAnsi="Bookman Old Style" w:cs="Times New Roman"/>
          <w:lang w:eastAsia="pl-PL"/>
        </w:rPr>
        <w:t xml:space="preserve"> poddawanych ubojowi,</w:t>
      </w:r>
    </w:p>
    <w:p w:rsidR="00FC508E" w:rsidRPr="00C07FC2" w:rsidRDefault="00FC508E" w:rsidP="00FC508E">
      <w:pPr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C07FC2">
        <w:rPr>
          <w:rFonts w:ascii="Bookman Old Style" w:hAnsi="Bookman Old Style" w:cs="Times New Roman"/>
          <w:lang w:eastAsia="pl-PL"/>
        </w:rPr>
        <w:t>- numer identyfikacyjny zwierzęcia poddawanego ubojowi,</w:t>
      </w:r>
    </w:p>
    <w:p w:rsidR="00FC508E" w:rsidRPr="00C07FC2" w:rsidRDefault="00FC508E" w:rsidP="00FC508E">
      <w:pPr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C07FC2">
        <w:rPr>
          <w:rFonts w:ascii="Bookman Old Style" w:hAnsi="Bookman Old Style" w:cs="Times New Roman"/>
          <w:lang w:eastAsia="pl-PL"/>
        </w:rPr>
        <w:t>- miejsce i termin uboju,</w:t>
      </w:r>
    </w:p>
    <w:p w:rsidR="00FC508E" w:rsidRPr="00C07FC2" w:rsidRDefault="00FC508E" w:rsidP="00FC508E">
      <w:pPr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C07FC2">
        <w:rPr>
          <w:rFonts w:ascii="Bookman Old Style" w:hAnsi="Bookman Old Style" w:cs="Times New Roman"/>
          <w:lang w:eastAsia="pl-PL"/>
        </w:rPr>
        <w:t>- imię, nazwisko i adres osoby uprawnionej do przeprowadzenia uboju,</w:t>
      </w:r>
    </w:p>
    <w:p w:rsidR="00FC508E" w:rsidRPr="00C07FC2" w:rsidRDefault="00FC508E" w:rsidP="00FC508E">
      <w:pPr>
        <w:spacing w:after="0" w:line="240" w:lineRule="auto"/>
        <w:jc w:val="both"/>
        <w:rPr>
          <w:rFonts w:ascii="Bookman Old Style" w:hAnsi="Bookman Old Style" w:cs="Times New Roman"/>
          <w:lang w:eastAsia="pl-PL"/>
        </w:rPr>
      </w:pPr>
      <w:r w:rsidRPr="00C07FC2">
        <w:rPr>
          <w:rFonts w:ascii="Bookman Old Style" w:hAnsi="Bookman Old Style" w:cs="Times New Roman"/>
          <w:lang w:eastAsia="pl-PL"/>
        </w:rPr>
        <w:t>- inne dane mające na celu ułatwienie kontaktu z informującym (</w:t>
      </w:r>
      <w:r>
        <w:rPr>
          <w:rFonts w:ascii="Bookman Old Style" w:hAnsi="Bookman Old Style" w:cs="Times New Roman"/>
          <w:lang w:eastAsia="pl-PL"/>
        </w:rPr>
        <w:t xml:space="preserve">numer </w:t>
      </w:r>
      <w:r w:rsidRPr="00C07FC2">
        <w:rPr>
          <w:rFonts w:ascii="Bookman Old Style" w:hAnsi="Bookman Old Style" w:cs="Times New Roman"/>
          <w:lang w:eastAsia="pl-PL"/>
        </w:rPr>
        <w:t>telefonu),</w:t>
      </w:r>
    </w:p>
    <w:p w:rsidR="00FC508E" w:rsidRPr="005F76D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</w:t>
      </w:r>
      <w:r w:rsidRPr="005F76DE">
        <w:rPr>
          <w:rFonts w:ascii="Bookman Old Style" w:hAnsi="Bookman Old Style" w:cs="Arial"/>
          <w:sz w:val="22"/>
          <w:szCs w:val="22"/>
        </w:rPr>
        <w:t>w przypadku, gdy gospodarstwo znajduje się na obszarze podlegającym ograniczeniom, nakazom lub zakazom wydanym w związku z wystąpieniem afrykańskiego pomoru świń</w:t>
      </w:r>
      <w:r>
        <w:rPr>
          <w:rFonts w:ascii="Bookman Old Style" w:hAnsi="Bookman Old Style" w:cs="Arial"/>
          <w:sz w:val="22"/>
          <w:szCs w:val="22"/>
        </w:rPr>
        <w:t xml:space="preserve"> (ASF)</w:t>
      </w:r>
      <w:r w:rsidRPr="005F76DE">
        <w:rPr>
          <w:rFonts w:ascii="Bookman Old Style" w:hAnsi="Bookman Old Style" w:cs="Arial"/>
          <w:sz w:val="22"/>
          <w:szCs w:val="22"/>
        </w:rPr>
        <w:t xml:space="preserve"> na terytorium Polski 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(</w:t>
      </w:r>
      <w:proofErr w:type="spellStart"/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t.j</w:t>
      </w:r>
      <w:proofErr w:type="spellEnd"/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. na</w:t>
      </w:r>
      <w:r w:rsidRPr="005F76D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obszar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>z</w:t>
      </w:r>
      <w:r w:rsidRPr="005F76DE">
        <w:rPr>
          <w:rFonts w:ascii="Bookman Old Style" w:hAnsi="Bookman Old Style" w:cs="Arial"/>
          <w:bCs/>
          <w:color w:val="000000" w:themeColor="text1"/>
          <w:sz w:val="22"/>
          <w:szCs w:val="22"/>
        </w:rPr>
        <w:t>e zagrożenia, objętym ograniczeniami i ochronnym),</w:t>
      </w:r>
      <w:r w:rsidRPr="005F76DE">
        <w:rPr>
          <w:rFonts w:ascii="Bookman Old Style" w:hAnsi="Bookman Old Style" w:cs="Arial"/>
          <w:sz w:val="22"/>
          <w:szCs w:val="22"/>
        </w:rPr>
        <w:t xml:space="preserve"> dodatkowo hodowca zobowiązany jest do złożenia oświadczenia, że świnie były utrzymywane w gospodarstwie co najmniej przez 30 dni przed ubojem.</w:t>
      </w:r>
    </w:p>
    <w:p w:rsidR="00FC508E" w:rsidRPr="00F8503F" w:rsidRDefault="00FC508E" w:rsidP="00FC508E">
      <w:pPr>
        <w:spacing w:before="100" w:beforeAutospacing="1" w:after="100" w:afterAutospacing="1" w:line="240" w:lineRule="auto"/>
        <w:jc w:val="both"/>
        <w:outlineLvl w:val="3"/>
        <w:rPr>
          <w:rFonts w:ascii="Bookman Old Style" w:eastAsia="Times New Roman" w:hAnsi="Bookman Old Style" w:cs="Arial"/>
          <w:bCs/>
          <w:color w:val="000000" w:themeColor="text1"/>
          <w:u w:val="single"/>
          <w:lang w:eastAsia="pl-PL"/>
        </w:rPr>
      </w:pPr>
      <w:r w:rsidRPr="005F76DE"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 xml:space="preserve">W przypadku </w:t>
      </w:r>
      <w:r w:rsidRPr="00F8503F">
        <w:rPr>
          <w:rFonts w:ascii="Bookman Old Style" w:eastAsia="Times New Roman" w:hAnsi="Bookman Old Style" w:cs="Arial"/>
          <w:bCs/>
          <w:color w:val="000000" w:themeColor="text1"/>
          <w:u w:val="single"/>
          <w:lang w:eastAsia="pl-PL"/>
        </w:rPr>
        <w:t>gdy gospodarstwo nie znajduje się na obszarze objętym ww. restrykcjami</w:t>
      </w:r>
      <w:r w:rsidRPr="001D1827"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 xml:space="preserve"> w związku z wystąpieniem </w:t>
      </w:r>
      <w:r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>ASF</w:t>
      </w:r>
      <w:r w:rsidRPr="00210522">
        <w:rPr>
          <w:rFonts w:ascii="Bookman Old Style" w:hAnsi="Bookman Old Style" w:cs="Arial"/>
        </w:rPr>
        <w:t xml:space="preserve"> </w:t>
      </w:r>
      <w:r w:rsidRPr="001D1827"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>(</w:t>
      </w:r>
      <w:proofErr w:type="spellStart"/>
      <w:r w:rsidRPr="001D1827"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>t.j</w:t>
      </w:r>
      <w:proofErr w:type="spellEnd"/>
      <w:r w:rsidRPr="001D1827">
        <w:rPr>
          <w:rFonts w:ascii="Bookman Old Style" w:eastAsia="Times New Roman" w:hAnsi="Bookman Old Style" w:cs="Arial"/>
          <w:bCs/>
          <w:color w:val="000000" w:themeColor="text1"/>
          <w:lang w:eastAsia="pl-PL"/>
        </w:rPr>
        <w:t xml:space="preserve">. poza obszarem zagrożenia, objętym ograniczeniami i ochronnym), </w:t>
      </w:r>
      <w:r w:rsidRPr="00F8503F">
        <w:rPr>
          <w:rFonts w:ascii="Bookman Old Style" w:eastAsia="Times New Roman" w:hAnsi="Bookman Old Style" w:cs="Arial"/>
          <w:bCs/>
          <w:color w:val="000000" w:themeColor="text1"/>
          <w:u w:val="single"/>
          <w:lang w:eastAsia="pl-PL"/>
        </w:rPr>
        <w:t>obowiązkowe jest jedynie przeprowadzenie badania mięsa w kierunku włośni.</w:t>
      </w:r>
    </w:p>
    <w:p w:rsidR="00FC508E" w:rsidRPr="00484939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210522">
        <w:rPr>
          <w:rFonts w:ascii="Bookman Old Style" w:hAnsi="Bookman Old Style" w:cs="Arial"/>
          <w:sz w:val="22"/>
          <w:szCs w:val="22"/>
        </w:rPr>
        <w:t xml:space="preserve">W przypadku gdy </w:t>
      </w:r>
      <w:r w:rsidRPr="00F8503F">
        <w:rPr>
          <w:rFonts w:ascii="Bookman Old Style" w:hAnsi="Bookman Old Style" w:cs="Arial"/>
          <w:sz w:val="22"/>
          <w:szCs w:val="22"/>
          <w:u w:val="single"/>
        </w:rPr>
        <w:t>gospodarstwo położone jest na ww. obszarach objętych restrykcjami</w:t>
      </w:r>
      <w:r w:rsidRPr="00210522">
        <w:rPr>
          <w:rFonts w:ascii="Bookman Old Style" w:hAnsi="Bookman Old Style" w:cs="Arial"/>
          <w:sz w:val="22"/>
          <w:szCs w:val="22"/>
        </w:rPr>
        <w:t xml:space="preserve"> w związku z wystąpieniem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10522">
        <w:rPr>
          <w:rFonts w:ascii="Bookman Old Style" w:hAnsi="Bookman Old Style" w:cs="Arial"/>
          <w:sz w:val="22"/>
          <w:szCs w:val="22"/>
        </w:rPr>
        <w:t xml:space="preserve">ASF </w:t>
      </w:r>
      <w:r w:rsidRPr="00484939">
        <w:rPr>
          <w:rFonts w:ascii="Bookman Old Style" w:hAnsi="Bookman Old Style" w:cs="Arial"/>
          <w:sz w:val="22"/>
          <w:szCs w:val="22"/>
          <w:u w:val="single"/>
        </w:rPr>
        <w:t xml:space="preserve">obowiązkowe jest przeprowadzenie badania </w:t>
      </w:r>
      <w:proofErr w:type="spellStart"/>
      <w:r w:rsidRPr="00484939">
        <w:rPr>
          <w:rFonts w:ascii="Bookman Old Style" w:hAnsi="Bookman Old Style" w:cs="Arial"/>
          <w:sz w:val="22"/>
          <w:szCs w:val="22"/>
          <w:u w:val="single"/>
        </w:rPr>
        <w:t>przedubojowego</w:t>
      </w:r>
      <w:proofErr w:type="spellEnd"/>
      <w:r w:rsidRPr="00484939">
        <w:rPr>
          <w:rFonts w:ascii="Bookman Old Style" w:hAnsi="Bookman Old Style" w:cs="Arial"/>
          <w:sz w:val="22"/>
          <w:szCs w:val="22"/>
          <w:u w:val="single"/>
        </w:rPr>
        <w:t xml:space="preserve"> zwierzęcia i poubojowego mięsa włącznie z badaniem mięsa w kierunku włośni. 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10522">
        <w:rPr>
          <w:rFonts w:ascii="Bookman Old Style" w:hAnsi="Bookman Old Style" w:cs="Arial"/>
          <w:sz w:val="22"/>
          <w:szCs w:val="22"/>
        </w:rPr>
        <w:t xml:space="preserve">W przypadku </w:t>
      </w:r>
      <w:r w:rsidRPr="00484939">
        <w:rPr>
          <w:rFonts w:ascii="Bookman Old Style" w:hAnsi="Bookman Old Style" w:cs="Arial"/>
          <w:sz w:val="22"/>
          <w:szCs w:val="22"/>
          <w:u w:val="single"/>
        </w:rPr>
        <w:t>gdy gospodarstwo znajduje się na </w:t>
      </w:r>
      <w:r w:rsidRPr="00484939">
        <w:rPr>
          <w:rStyle w:val="Pogrubienie"/>
          <w:rFonts w:ascii="Bookman Old Style" w:hAnsi="Bookman Old Style" w:cs="Arial"/>
          <w:color w:val="365F91" w:themeColor="accent1" w:themeShade="BF"/>
          <w:sz w:val="22"/>
          <w:szCs w:val="22"/>
          <w:u w:val="single"/>
        </w:rPr>
        <w:t>obszarze zagrożenia</w:t>
      </w:r>
      <w:r w:rsidRPr="001D1827">
        <w:rPr>
          <w:rFonts w:ascii="Bookman Old Style" w:hAnsi="Bookman Old Style" w:cs="Arial"/>
          <w:color w:val="365F91" w:themeColor="accent1" w:themeShade="BF"/>
          <w:sz w:val="22"/>
          <w:szCs w:val="22"/>
        </w:rPr>
        <w:t> (tzw. obszar niebieski),</w:t>
      </w:r>
      <w:r w:rsidRPr="00210522">
        <w:rPr>
          <w:rFonts w:ascii="Bookman Old Style" w:hAnsi="Bookman Old Style" w:cs="Arial"/>
          <w:color w:val="FF0000"/>
          <w:sz w:val="22"/>
          <w:szCs w:val="22"/>
        </w:rPr>
        <w:t> </w:t>
      </w:r>
      <w:r w:rsidRPr="00484939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>obowiązkowe jest pobranie próbki krwi do badania w kierunku ASF.</w:t>
      </w:r>
      <w:r w:rsidRPr="00210522">
        <w:rPr>
          <w:rFonts w:ascii="Bookman Old Style" w:hAnsi="Bookman Old Style" w:cs="Arial"/>
          <w:sz w:val="22"/>
          <w:szCs w:val="22"/>
        </w:rPr>
        <w:t> Jeśli gospodarstwo położone jest na </w:t>
      </w:r>
      <w:r w:rsidRPr="001D1827">
        <w:rPr>
          <w:rStyle w:val="Pogrubienie"/>
          <w:rFonts w:ascii="Bookman Old Style" w:hAnsi="Bookman Old Style" w:cs="Arial"/>
          <w:color w:val="FF0000"/>
          <w:sz w:val="22"/>
          <w:szCs w:val="22"/>
        </w:rPr>
        <w:t>obszarze objętym ograniczeniami</w:t>
      </w:r>
      <w:r w:rsidRPr="001D1827">
        <w:rPr>
          <w:rFonts w:ascii="Bookman Old Style" w:hAnsi="Bookman Old Style" w:cs="Arial"/>
          <w:color w:val="FF0000"/>
          <w:sz w:val="22"/>
          <w:szCs w:val="22"/>
        </w:rPr>
        <w:t> (tzw. obszar czerwony)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10522">
        <w:rPr>
          <w:rFonts w:ascii="Bookman Old Style" w:hAnsi="Bookman Old Style" w:cs="Arial"/>
          <w:sz w:val="22"/>
          <w:szCs w:val="22"/>
        </w:rPr>
        <w:t>lub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1D1827">
        <w:rPr>
          <w:rStyle w:val="Pogrubienie"/>
          <w:rFonts w:ascii="Bookman Old Style" w:hAnsi="Bookman Old Style" w:cs="Arial"/>
          <w:color w:val="FFC000"/>
          <w:sz w:val="22"/>
          <w:szCs w:val="22"/>
        </w:rPr>
        <w:t xml:space="preserve">obszarze ochronnym </w:t>
      </w:r>
      <w:r w:rsidRPr="001D1827">
        <w:rPr>
          <w:rFonts w:ascii="Bookman Old Style" w:hAnsi="Bookman Old Style" w:cs="Arial"/>
          <w:color w:val="FFC000"/>
          <w:sz w:val="22"/>
          <w:szCs w:val="22"/>
        </w:rPr>
        <w:t>(tzw. obszar żółty)</w:t>
      </w:r>
      <w:r w:rsidRPr="00210522">
        <w:rPr>
          <w:rFonts w:ascii="Bookman Old Style" w:hAnsi="Bookman Old Style" w:cs="Arial"/>
          <w:sz w:val="22"/>
          <w:szCs w:val="22"/>
        </w:rPr>
        <w:t xml:space="preserve"> o konieczności pobrania próbki decyduje urzędowy lekarz </w:t>
      </w:r>
      <w:proofErr w:type="spellStart"/>
      <w:r w:rsidRPr="00210522">
        <w:rPr>
          <w:rFonts w:ascii="Bookman Old Style" w:hAnsi="Bookman Old Style" w:cs="Arial"/>
          <w:sz w:val="22"/>
          <w:szCs w:val="22"/>
        </w:rPr>
        <w:t>weterynarii</w:t>
      </w:r>
      <w:proofErr w:type="spellEnd"/>
      <w:r w:rsidRPr="00210522">
        <w:rPr>
          <w:rFonts w:ascii="Bookman Old Style" w:hAnsi="Bookman Old Style" w:cs="Arial"/>
          <w:sz w:val="22"/>
          <w:szCs w:val="22"/>
        </w:rPr>
        <w:t xml:space="preserve">. 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10522">
        <w:rPr>
          <w:rFonts w:ascii="Bookman Old Style" w:hAnsi="Bookman Old Style" w:cs="Arial"/>
          <w:sz w:val="22"/>
          <w:szCs w:val="22"/>
        </w:rPr>
        <w:t xml:space="preserve">Pobieranie próbek oraz ich badanie organizuje </w:t>
      </w:r>
      <w:proofErr w:type="spellStart"/>
      <w:r w:rsidRPr="00210522">
        <w:rPr>
          <w:rFonts w:ascii="Bookman Old Style" w:hAnsi="Bookman Old Style" w:cs="Arial"/>
          <w:sz w:val="22"/>
          <w:szCs w:val="22"/>
        </w:rPr>
        <w:t>powiatowy</w:t>
      </w:r>
      <w:proofErr w:type="spellEnd"/>
      <w:r w:rsidRPr="00210522">
        <w:rPr>
          <w:rFonts w:ascii="Bookman Old Style" w:hAnsi="Bookman Old Style" w:cs="Arial"/>
          <w:sz w:val="22"/>
          <w:szCs w:val="22"/>
        </w:rPr>
        <w:t xml:space="preserve"> lekarz </w:t>
      </w:r>
      <w:proofErr w:type="spellStart"/>
      <w:r w:rsidRPr="00210522">
        <w:rPr>
          <w:rFonts w:ascii="Bookman Old Style" w:hAnsi="Bookman Old Style" w:cs="Arial"/>
          <w:sz w:val="22"/>
          <w:szCs w:val="22"/>
        </w:rPr>
        <w:t>weterynarii</w:t>
      </w:r>
      <w:proofErr w:type="spellEnd"/>
      <w:r w:rsidRPr="00210522">
        <w:rPr>
          <w:rFonts w:ascii="Bookman Old Style" w:hAnsi="Bookman Old Style" w:cs="Arial"/>
          <w:sz w:val="22"/>
          <w:szCs w:val="22"/>
        </w:rPr>
        <w:t>.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Badanie </w:t>
      </w:r>
      <w:proofErr w:type="spellStart"/>
      <w:r>
        <w:rPr>
          <w:rFonts w:ascii="Bookman Old Style" w:hAnsi="Bookman Old Style" w:cs="Arial"/>
          <w:sz w:val="22"/>
          <w:szCs w:val="22"/>
        </w:rPr>
        <w:t>przedubojowe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zwierząt wykonywane jest przez pracowników Inspekcji Weterynaryjnej.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Badanie poubojowe tuszy oraz </w:t>
      </w:r>
      <w:r w:rsidRPr="00210522">
        <w:rPr>
          <w:rFonts w:ascii="Bookman Old Style" w:hAnsi="Bookman Old Style" w:cs="Arial"/>
          <w:sz w:val="22"/>
          <w:szCs w:val="22"/>
        </w:rPr>
        <w:t>badanie mięsa w kierunku włośni</w:t>
      </w:r>
      <w:r>
        <w:rPr>
          <w:rFonts w:ascii="Bookman Old Style" w:hAnsi="Bookman Old Style" w:cs="Arial"/>
          <w:sz w:val="22"/>
          <w:szCs w:val="22"/>
        </w:rPr>
        <w:t xml:space="preserve"> wykonywane jest przez u</w:t>
      </w:r>
      <w:r w:rsidRPr="00210522">
        <w:rPr>
          <w:rFonts w:ascii="Bookman Old Style" w:hAnsi="Bookman Old Style" w:cs="Arial"/>
          <w:sz w:val="22"/>
          <w:szCs w:val="22"/>
        </w:rPr>
        <w:t>rzędowy</w:t>
      </w:r>
      <w:r>
        <w:rPr>
          <w:rFonts w:ascii="Bookman Old Style" w:hAnsi="Bookman Old Style" w:cs="Arial"/>
          <w:sz w:val="22"/>
          <w:szCs w:val="22"/>
        </w:rPr>
        <w:t>ch</w:t>
      </w:r>
      <w:r w:rsidRPr="00210522">
        <w:rPr>
          <w:rFonts w:ascii="Bookman Old Style" w:hAnsi="Bookman Old Style" w:cs="Arial"/>
          <w:sz w:val="22"/>
          <w:szCs w:val="22"/>
        </w:rPr>
        <w:t xml:space="preserve"> lekarz</w:t>
      </w:r>
      <w:r>
        <w:rPr>
          <w:rFonts w:ascii="Bookman Old Style" w:hAnsi="Bookman Old Style" w:cs="Arial"/>
          <w:sz w:val="22"/>
          <w:szCs w:val="22"/>
        </w:rPr>
        <w:t>y</w:t>
      </w:r>
      <w:r w:rsidRPr="00210522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210522">
        <w:rPr>
          <w:rFonts w:ascii="Bookman Old Style" w:hAnsi="Bookman Old Style" w:cs="Arial"/>
          <w:sz w:val="22"/>
          <w:szCs w:val="22"/>
        </w:rPr>
        <w:t>weterynarii</w:t>
      </w:r>
      <w:proofErr w:type="spellEnd"/>
      <w:r w:rsidRPr="00210522">
        <w:rPr>
          <w:rFonts w:ascii="Bookman Old Style" w:hAnsi="Bookman Old Style" w:cs="Arial"/>
          <w:sz w:val="22"/>
          <w:szCs w:val="22"/>
        </w:rPr>
        <w:t xml:space="preserve"> wyznaczony</w:t>
      </w:r>
      <w:r>
        <w:rPr>
          <w:rFonts w:ascii="Bookman Old Style" w:hAnsi="Bookman Old Style" w:cs="Arial"/>
          <w:sz w:val="22"/>
          <w:szCs w:val="22"/>
        </w:rPr>
        <w:t>ch</w:t>
      </w:r>
      <w:r w:rsidRPr="00210522">
        <w:rPr>
          <w:rFonts w:ascii="Bookman Old Style" w:hAnsi="Bookman Old Style" w:cs="Arial"/>
          <w:sz w:val="22"/>
          <w:szCs w:val="22"/>
        </w:rPr>
        <w:t xml:space="preserve"> przez powiatowego</w:t>
      </w:r>
      <w:r>
        <w:rPr>
          <w:rFonts w:ascii="Bookman Old Style" w:hAnsi="Bookman Old Style" w:cs="Arial"/>
          <w:sz w:val="22"/>
          <w:szCs w:val="22"/>
        </w:rPr>
        <w:t xml:space="preserve"> lekarza </w:t>
      </w:r>
      <w:proofErr w:type="spellStart"/>
      <w:r>
        <w:rPr>
          <w:rFonts w:ascii="Bookman Old Style" w:hAnsi="Bookman Old Style" w:cs="Arial"/>
          <w:sz w:val="22"/>
          <w:szCs w:val="22"/>
        </w:rPr>
        <w:t>weterynarii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do badania </w:t>
      </w:r>
      <w:r w:rsidRPr="00210522">
        <w:rPr>
          <w:rFonts w:ascii="Bookman Old Style" w:hAnsi="Bookman Old Style" w:cs="Arial"/>
          <w:sz w:val="22"/>
          <w:szCs w:val="22"/>
        </w:rPr>
        <w:t>zwierząt i mięsa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FC508E" w:rsidRP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</w:rPr>
        <w:t xml:space="preserve">Po przeprowadzeniu badań wystawiane jest </w:t>
      </w:r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 xml:space="preserve">zaświadczenie o wyniku badania 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 xml:space="preserve">                      </w:t>
      </w:r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>w kierunku włośni,</w:t>
      </w:r>
      <w:r>
        <w:rPr>
          <w:rStyle w:val="Pogrubienie"/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65678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a jeśli</w:t>
      </w:r>
      <w:r w:rsidRPr="00210522">
        <w:rPr>
          <w:rFonts w:ascii="Bookman Old Style" w:hAnsi="Bookman Old Style" w:cs="Arial"/>
          <w:sz w:val="22"/>
          <w:szCs w:val="22"/>
        </w:rPr>
        <w:t xml:space="preserve"> gospodarstwo położone jest na ww. obszarach objętych restrykcjami w związku z wystąpieniem ASF,</w:t>
      </w:r>
      <w:r>
        <w:rPr>
          <w:rFonts w:ascii="Bookman Old Style" w:hAnsi="Bookman Old Style" w:cs="Arial"/>
          <w:sz w:val="22"/>
          <w:szCs w:val="22"/>
        </w:rPr>
        <w:t xml:space="preserve"> urzędowy lekarz </w:t>
      </w:r>
      <w:proofErr w:type="spellStart"/>
      <w:r>
        <w:rPr>
          <w:rFonts w:ascii="Bookman Old Style" w:hAnsi="Bookman Old Style" w:cs="Arial"/>
          <w:sz w:val="22"/>
          <w:szCs w:val="22"/>
        </w:rPr>
        <w:t>weterynarii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ma </w:t>
      </w:r>
      <w:r w:rsidRPr="00210522">
        <w:rPr>
          <w:rFonts w:ascii="Bookman Old Style" w:hAnsi="Bookman Old Style" w:cs="Arial"/>
          <w:sz w:val="22"/>
          <w:szCs w:val="22"/>
        </w:rPr>
        <w:lastRenderedPageBreak/>
        <w:t>obowiązek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10522">
        <w:rPr>
          <w:rFonts w:ascii="Bookman Old Style" w:hAnsi="Bookman Old Style" w:cs="Arial"/>
          <w:sz w:val="22"/>
          <w:szCs w:val="22"/>
        </w:rPr>
        <w:t>wydać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 xml:space="preserve">dodatkowe zaświadczenie o wyniku badania </w:t>
      </w:r>
      <w:proofErr w:type="spellStart"/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>przedubojowego</w:t>
      </w:r>
      <w:proofErr w:type="spellEnd"/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 xml:space="preserve"> 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 xml:space="preserve">                    </w:t>
      </w:r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>i poubojowego.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FC508E" w:rsidRP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210522">
        <w:rPr>
          <w:rFonts w:ascii="Bookman Old Style" w:hAnsi="Bookman Old Style" w:cs="Arial"/>
          <w:sz w:val="22"/>
          <w:szCs w:val="22"/>
        </w:rPr>
        <w:t xml:space="preserve">Hodowca, który dokonał uboju świni w celu pozyskania mięsa na użytek własny, zobowiązany jest </w:t>
      </w:r>
      <w:r w:rsidRPr="00FC508E">
        <w:rPr>
          <w:rFonts w:ascii="Bookman Old Style" w:hAnsi="Bookman Old Style" w:cs="Arial"/>
          <w:sz w:val="22"/>
          <w:szCs w:val="22"/>
          <w:u w:val="single"/>
        </w:rPr>
        <w:t xml:space="preserve">powiadomić o tym zdarzeniu Agencję Restrukturyzacji                             i Modernizacji Rolnictwa. </w:t>
      </w:r>
    </w:p>
    <w:p w:rsidR="00FC508E" w:rsidRP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FC508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W przypadku </w:t>
      </w:r>
      <w:r w:rsidRPr="00FC508E">
        <w:rPr>
          <w:rFonts w:ascii="Bookman Old Style" w:hAnsi="Bookman Old Style" w:cs="Arial"/>
          <w:bCs/>
          <w:color w:val="000000" w:themeColor="text1"/>
          <w:sz w:val="22"/>
          <w:szCs w:val="22"/>
          <w:u w:val="single"/>
        </w:rPr>
        <w:t>gdy gospodarstwo zlokalizowane jest na obszarze wolnym od ASF zgłoszenia należy dokonać w ciągu 7 dni od dnia dokonania uboju.</w:t>
      </w:r>
    </w:p>
    <w:p w:rsidR="00FC508E" w:rsidRP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FC508E">
        <w:rPr>
          <w:rFonts w:ascii="Bookman Old Style" w:hAnsi="Bookman Old Style" w:cs="Arial"/>
          <w:sz w:val="22"/>
          <w:szCs w:val="22"/>
        </w:rPr>
        <w:t xml:space="preserve">W przypadku </w:t>
      </w:r>
      <w:r w:rsidRPr="00FC508E">
        <w:rPr>
          <w:rFonts w:ascii="Bookman Old Style" w:hAnsi="Bookman Old Style" w:cs="Arial"/>
          <w:sz w:val="22"/>
          <w:szCs w:val="22"/>
          <w:u w:val="single"/>
        </w:rPr>
        <w:t xml:space="preserve">gdy gospodarstwo położone jest na ww. obszarach objętych restrykcjami </w:t>
      </w:r>
      <w:r w:rsidRPr="00FC508E">
        <w:rPr>
          <w:rFonts w:ascii="Bookman Old Style" w:hAnsi="Bookman Old Style" w:cs="Arial"/>
          <w:sz w:val="22"/>
          <w:szCs w:val="22"/>
        </w:rPr>
        <w:t xml:space="preserve">w związku z wystąpieniem ASF, </w:t>
      </w:r>
      <w:r w:rsidRPr="00FC508E">
        <w:rPr>
          <w:rFonts w:ascii="Bookman Old Style" w:hAnsi="Bookman Old Style" w:cs="Arial"/>
          <w:sz w:val="22"/>
          <w:szCs w:val="22"/>
          <w:u w:val="single"/>
        </w:rPr>
        <w:t>zgłoszenia należy dokonać w ciągu 48</w:t>
      </w:r>
      <w:r w:rsidRPr="00FC508E">
        <w:rPr>
          <w:rStyle w:val="Pogrubienie"/>
          <w:rFonts w:ascii="Bookman Old Style" w:hAnsi="Bookman Old Style" w:cs="Arial"/>
          <w:sz w:val="22"/>
          <w:szCs w:val="22"/>
          <w:u w:val="single"/>
        </w:rPr>
        <w:t xml:space="preserve"> </w:t>
      </w:r>
      <w:r w:rsidRPr="00FC508E">
        <w:rPr>
          <w:rStyle w:val="Pogrubienie"/>
          <w:rFonts w:ascii="Bookman Old Style" w:hAnsi="Bookman Old Style" w:cs="Arial"/>
          <w:b w:val="0"/>
          <w:sz w:val="22"/>
          <w:szCs w:val="22"/>
          <w:u w:val="single"/>
        </w:rPr>
        <w:t>godzin</w:t>
      </w:r>
      <w:r w:rsidRPr="00FC508E">
        <w:rPr>
          <w:rFonts w:ascii="Bookman Old Style" w:hAnsi="Bookman Old Style" w:cs="Arial"/>
          <w:sz w:val="22"/>
          <w:szCs w:val="22"/>
          <w:u w:val="single"/>
        </w:rPr>
        <w:t> od dokonania uboju.</w:t>
      </w:r>
    </w:p>
    <w:p w:rsidR="00FC508E" w:rsidRPr="00210522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FF0000"/>
          <w:sz w:val="22"/>
          <w:szCs w:val="22"/>
          <w:u w:val="single"/>
        </w:rPr>
      </w:pPr>
    </w:p>
    <w:p w:rsidR="00FC508E" w:rsidRP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Za nieprzestrzeganie przepisów związanych z ubojem zwierząt w celu pozyskania mięsa na użytek własny, </w:t>
      </w:r>
      <w:proofErr w:type="spellStart"/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powiatowy</w:t>
      </w:r>
      <w:proofErr w:type="spellEnd"/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lekarz </w:t>
      </w:r>
      <w:proofErr w:type="spellStart"/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weterynarii</w:t>
      </w:r>
      <w:proofErr w:type="spellEnd"/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na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kłada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</w:t>
      </w:r>
      <w:r w:rsidRPr="00FC508E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  <w:u w:val="single"/>
        </w:rPr>
        <w:t>karę pieniężną                       w drodze decyzji administracyjnej lub mandatu karnego.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Wysokość kar pieniężnych za naruszenie przepisów o produktach pochodzenia zwierzęcego wynosi: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o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d 100 zł do 2000 zł – za niespełnienie wymagań weterynaryjnych przy produkcji mięsa na użytek własny,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o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d 1000 zł do 5000 zł – za wprowadzenie na rynek mięsa poch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odzącego z produkcji mięsa na uż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ytek własny.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Na podstawie art. 118 Kodeksu wykroczeń: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§ 1. Kto:</w:t>
      </w:r>
    </w:p>
    <w:p w:rsidR="00FC508E" w:rsidRDefault="00FC508E" w:rsidP="00FC5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dokonuje uboju zwierzę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cia bez wymaganego zezwolenia lub niezgodnie 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                   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z warunkami określonymi w tym zezwoleniu,</w:t>
      </w:r>
    </w:p>
    <w:p w:rsidR="00FC508E" w:rsidRDefault="00FC508E" w:rsidP="00FC5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usuwa części zwierzęcia przed wykonaniem wymaganego badania po uboju</w:t>
      </w: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,</w:t>
      </w:r>
    </w:p>
    <w:p w:rsidR="00FC508E" w:rsidRPr="00C44582" w:rsidRDefault="00FC508E" w:rsidP="00FC508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bCs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nie poddaje mięsa badaniu, jeżeli takie badanie jest wymagane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- podlega karze grzywny.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§ 2</w:t>
      </w:r>
      <w:r w:rsidRPr="00445526"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. Kto:</w:t>
      </w:r>
    </w:p>
    <w:p w:rsidR="00FC508E" w:rsidRDefault="00FC508E" w:rsidP="00FC50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bez wymaganego oznakowania i świadectwa,</w:t>
      </w:r>
    </w:p>
    <w:p w:rsidR="00FC508E" w:rsidRDefault="00FC508E" w:rsidP="00FC508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warunkowo zdatne do spożycia lub niezdatne do spożycia, wbrew określonemu sposobowi jego wykorzystania</w:t>
      </w:r>
    </w:p>
    <w:p w:rsidR="00FC508E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  <w:r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  <w:t>- podlega karze aresztu albo grzywny.</w:t>
      </w:r>
    </w:p>
    <w:p w:rsidR="00FC508E" w:rsidRPr="00445526" w:rsidRDefault="00FC508E" w:rsidP="00FC508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:rsidR="00FC508E" w:rsidRPr="00210522" w:rsidRDefault="00FC508E" w:rsidP="00FC508E">
      <w:pPr>
        <w:jc w:val="both"/>
        <w:rPr>
          <w:rFonts w:ascii="Bookman Old Style" w:hAnsi="Bookman Old Style"/>
          <w:color w:val="FF0000"/>
        </w:rPr>
      </w:pPr>
    </w:p>
    <w:p w:rsidR="0023430F" w:rsidRDefault="0023430F"/>
    <w:sectPr w:rsidR="0023430F" w:rsidSect="0023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300"/>
    <w:multiLevelType w:val="hybridMultilevel"/>
    <w:tmpl w:val="3EDA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7EA4"/>
    <w:multiLevelType w:val="hybridMultilevel"/>
    <w:tmpl w:val="5750F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8E"/>
    <w:rsid w:val="0023430F"/>
    <w:rsid w:val="00FC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2019-04-01T11:18:00Z</dcterms:created>
  <dcterms:modified xsi:type="dcterms:W3CDTF">2019-04-01T11:20:00Z</dcterms:modified>
</cp:coreProperties>
</file>